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rPr>
          <w:rFonts w:ascii="宋体" w:hAnsi="宋体"/>
          <w:color w:val="auto"/>
          <w:sz w:val="24"/>
          <w:highlight w:val="none"/>
        </w:rPr>
      </w:pPr>
      <w:bookmarkStart w:id="0" w:name="OLE_LINK1"/>
      <w:bookmarkStart w:id="19" w:name="_GoBack"/>
      <w:bookmarkEnd w:id="19"/>
      <w:r>
        <w:rPr>
          <w:rFonts w:hint="eastAsia" w:ascii="宋体" w:hAnsi="宋体"/>
          <w:color w:val="auto"/>
          <w:sz w:val="24"/>
          <w:highlight w:val="none"/>
        </w:rPr>
        <w:t>附件1：资格审查条件</w:t>
      </w:r>
    </w:p>
    <w:p>
      <w:pPr>
        <w:pStyle w:val="4"/>
        <w:snapToGrid w:val="0"/>
        <w:spacing w:before="0" w:after="0" w:line="240" w:lineRule="auto"/>
        <w:jc w:val="center"/>
        <w:rPr>
          <w:rFonts w:ascii="宋体" w:hAnsi="宋体"/>
          <w:color w:val="auto"/>
          <w:sz w:val="24"/>
          <w:szCs w:val="24"/>
          <w:highlight w:val="none"/>
        </w:rPr>
      </w:pPr>
      <w:bookmarkStart w:id="1" w:name="_Toc536788771"/>
      <w:r>
        <w:rPr>
          <w:rFonts w:hint="eastAsia" w:ascii="宋体" w:hAnsi="宋体"/>
          <w:color w:val="auto"/>
          <w:sz w:val="24"/>
          <w:szCs w:val="24"/>
          <w:highlight w:val="none"/>
        </w:rPr>
        <w:t>附录1  资质审查条件（资质最低要求）</w:t>
      </w:r>
      <w:bookmarkEnd w:id="1"/>
    </w:p>
    <w:tbl>
      <w:tblPr>
        <w:tblStyle w:val="27"/>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52" w:type="dxa"/>
            <w:vAlign w:val="center"/>
          </w:tcPr>
          <w:p>
            <w:pPr>
              <w:pStyle w:val="110"/>
              <w:widowControl/>
              <w:autoSpaceDE w:val="0"/>
              <w:autoSpaceDN w:val="0"/>
              <w:spacing w:line="320" w:lineRule="exact"/>
              <w:ind w:left="108"/>
              <w:jc w:val="center"/>
              <w:rPr>
                <w:color w:val="auto"/>
                <w:sz w:val="21"/>
                <w:szCs w:val="21"/>
                <w:highlight w:val="none"/>
                <w:lang w:val="en-US"/>
              </w:rPr>
            </w:pPr>
            <w:bookmarkStart w:id="2" w:name="_Toc536788772"/>
            <w:r>
              <w:rPr>
                <w:rFonts w:hint="eastAsia"/>
                <w:color w:val="auto"/>
                <w:sz w:val="21"/>
                <w:szCs w:val="21"/>
                <w:highlight w:val="none"/>
                <w:lang w:val="en-US"/>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jc w:val="center"/>
        </w:trPr>
        <w:tc>
          <w:tcPr>
            <w:tcW w:w="9752" w:type="dxa"/>
            <w:tcBorders>
              <w:bottom w:val="single" w:color="auto" w:sz="4" w:space="0"/>
            </w:tcBorders>
            <w:vAlign w:val="center"/>
          </w:tcPr>
          <w:p>
            <w:pPr>
              <w:pStyle w:val="110"/>
              <w:widowControl/>
              <w:autoSpaceDE w:val="0"/>
              <w:autoSpaceDN w:val="0"/>
              <w:snapToGrid w:val="0"/>
              <w:spacing w:line="360" w:lineRule="exact"/>
              <w:rPr>
                <w:color w:val="auto"/>
                <w:sz w:val="21"/>
                <w:szCs w:val="21"/>
                <w:highlight w:val="none"/>
              </w:rPr>
            </w:pPr>
            <w:r>
              <w:rPr>
                <w:rFonts w:hint="eastAsia"/>
                <w:b/>
                <w:bCs/>
                <w:color w:val="auto"/>
                <w:sz w:val="21"/>
                <w:szCs w:val="21"/>
                <w:highlight w:val="none"/>
              </w:rPr>
              <w:t>投标人独立投标的</w:t>
            </w:r>
            <w:r>
              <w:rPr>
                <w:rFonts w:hint="eastAsia"/>
                <w:b/>
                <w:bCs/>
                <w:color w:val="auto"/>
                <w:sz w:val="21"/>
                <w:szCs w:val="21"/>
                <w:highlight w:val="none"/>
                <w:lang w:val="en-US"/>
              </w:rPr>
              <w:t>:</w:t>
            </w:r>
          </w:p>
          <w:p>
            <w:pPr>
              <w:pStyle w:val="110"/>
              <w:widowControl/>
              <w:autoSpaceDE w:val="0"/>
              <w:autoSpaceDN w:val="0"/>
              <w:snapToGrid w:val="0"/>
              <w:spacing w:line="360" w:lineRule="exact"/>
              <w:ind w:firstLine="420" w:firstLineChars="200"/>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具备独立企业法人资格，</w:t>
            </w:r>
            <w:r>
              <w:rPr>
                <w:color w:val="auto"/>
                <w:sz w:val="21"/>
                <w:szCs w:val="21"/>
                <w:highlight w:val="none"/>
              </w:rPr>
              <w:t>持有有效</w:t>
            </w:r>
            <w:r>
              <w:rPr>
                <w:rFonts w:hint="eastAsia"/>
                <w:color w:val="auto"/>
                <w:sz w:val="21"/>
                <w:szCs w:val="21"/>
                <w:highlight w:val="none"/>
              </w:rPr>
              <w:t>的</w:t>
            </w:r>
            <w:r>
              <w:rPr>
                <w:color w:val="auto"/>
                <w:sz w:val="21"/>
                <w:szCs w:val="21"/>
                <w:highlight w:val="none"/>
              </w:rPr>
              <w:t>企业营业执照</w:t>
            </w:r>
            <w:r>
              <w:rPr>
                <w:rFonts w:hint="eastAsia"/>
                <w:color w:val="auto"/>
                <w:sz w:val="21"/>
                <w:szCs w:val="21"/>
                <w:highlight w:val="none"/>
              </w:rPr>
              <w:t>或事业单位法人证书；</w:t>
            </w:r>
          </w:p>
          <w:p>
            <w:pPr>
              <w:pStyle w:val="110"/>
              <w:widowControl/>
              <w:autoSpaceDE w:val="0"/>
              <w:autoSpaceDN w:val="0"/>
              <w:snapToGrid w:val="0"/>
              <w:spacing w:line="360" w:lineRule="exact"/>
              <w:ind w:firstLine="420" w:firstLineChars="20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具</w:t>
            </w:r>
            <w:r>
              <w:rPr>
                <w:rFonts w:hint="eastAsia"/>
                <w:color w:val="auto"/>
                <w:sz w:val="21"/>
                <w:szCs w:val="21"/>
                <w:highlight w:val="none"/>
                <w:lang w:val="en-US"/>
              </w:rPr>
              <w:t>有交通运输部颁发的公路工程综合甲级试验检测资质证书或省级及以上技术监督部门颁发的</w:t>
            </w:r>
            <w:r>
              <w:rPr>
                <w:rFonts w:hint="eastAsia"/>
                <w:color w:val="auto"/>
                <w:sz w:val="21"/>
                <w:szCs w:val="21"/>
                <w:highlight w:val="none"/>
              </w:rPr>
              <w:t>计量认证（CMA）合格证书（具有路面平整度、路面破损或路面裂缝调查、路面车辙等检测能力；具有桥梁和隧道检测能力）。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9752" w:type="dxa"/>
            <w:tcBorders>
              <w:top w:val="single" w:color="auto" w:sz="4" w:space="0"/>
              <w:bottom w:val="single" w:color="auto" w:sz="4" w:space="0"/>
            </w:tcBorders>
            <w:vAlign w:val="center"/>
          </w:tcPr>
          <w:p>
            <w:pPr>
              <w:pStyle w:val="110"/>
              <w:widowControl/>
              <w:autoSpaceDE w:val="0"/>
              <w:autoSpaceDN w:val="0"/>
              <w:snapToGrid w:val="0"/>
              <w:spacing w:line="360" w:lineRule="exact"/>
              <w:rPr>
                <w:b/>
                <w:bCs/>
                <w:color w:val="auto"/>
                <w:sz w:val="21"/>
                <w:szCs w:val="21"/>
                <w:highlight w:val="none"/>
              </w:rPr>
            </w:pPr>
            <w:r>
              <w:rPr>
                <w:rFonts w:hint="eastAsia"/>
                <w:b/>
                <w:bCs/>
                <w:color w:val="auto"/>
                <w:sz w:val="21"/>
                <w:szCs w:val="21"/>
                <w:highlight w:val="none"/>
              </w:rPr>
              <w:t>投标人</w:t>
            </w:r>
            <w:r>
              <w:rPr>
                <w:rFonts w:hint="eastAsia"/>
                <w:b/>
                <w:bCs/>
                <w:color w:val="auto"/>
                <w:sz w:val="21"/>
                <w:szCs w:val="21"/>
                <w:highlight w:val="none"/>
                <w:lang w:val="en-US"/>
              </w:rPr>
              <w:t>以</w:t>
            </w:r>
            <w:r>
              <w:rPr>
                <w:rFonts w:hint="eastAsia"/>
                <w:b/>
                <w:bCs/>
                <w:color w:val="auto"/>
                <w:sz w:val="21"/>
                <w:szCs w:val="21"/>
                <w:highlight w:val="none"/>
              </w:rPr>
              <w:t>联合体形式投标的：</w:t>
            </w:r>
          </w:p>
          <w:p>
            <w:pPr>
              <w:pStyle w:val="110"/>
              <w:widowControl/>
              <w:autoSpaceDE w:val="0"/>
              <w:autoSpaceDN w:val="0"/>
              <w:snapToGrid w:val="0"/>
              <w:spacing w:line="360" w:lineRule="exact"/>
              <w:ind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联合体各</w:t>
            </w:r>
            <w:r>
              <w:rPr>
                <w:rFonts w:hint="eastAsia"/>
                <w:color w:val="auto"/>
                <w:sz w:val="21"/>
                <w:szCs w:val="21"/>
                <w:highlight w:val="none"/>
                <w:lang w:val="en-US"/>
              </w:rPr>
              <w:t>成员应</w:t>
            </w:r>
            <w:r>
              <w:rPr>
                <w:rFonts w:hint="eastAsia"/>
                <w:color w:val="auto"/>
                <w:sz w:val="21"/>
                <w:szCs w:val="21"/>
                <w:highlight w:val="none"/>
              </w:rPr>
              <w:t>具备独立企业法人资格，</w:t>
            </w:r>
            <w:r>
              <w:rPr>
                <w:color w:val="auto"/>
                <w:sz w:val="21"/>
                <w:szCs w:val="21"/>
                <w:highlight w:val="none"/>
              </w:rPr>
              <w:t>持有有效</w:t>
            </w:r>
            <w:r>
              <w:rPr>
                <w:rFonts w:hint="eastAsia"/>
                <w:color w:val="auto"/>
                <w:sz w:val="21"/>
                <w:szCs w:val="21"/>
                <w:highlight w:val="none"/>
              </w:rPr>
              <w:t>的</w:t>
            </w:r>
            <w:r>
              <w:rPr>
                <w:color w:val="auto"/>
                <w:sz w:val="21"/>
                <w:szCs w:val="21"/>
                <w:highlight w:val="none"/>
              </w:rPr>
              <w:t>企业营业执照</w:t>
            </w:r>
            <w:r>
              <w:rPr>
                <w:rFonts w:hint="eastAsia"/>
                <w:color w:val="auto"/>
                <w:sz w:val="21"/>
                <w:szCs w:val="21"/>
                <w:highlight w:val="none"/>
              </w:rPr>
              <w:t>或事业单位法人证书；</w:t>
            </w:r>
          </w:p>
          <w:p>
            <w:pPr>
              <w:pStyle w:val="110"/>
              <w:widowControl/>
              <w:autoSpaceDE w:val="0"/>
              <w:autoSpaceDN w:val="0"/>
              <w:snapToGrid w:val="0"/>
              <w:spacing w:line="360" w:lineRule="exact"/>
              <w:ind w:firstLine="420" w:firstLineChars="20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联合体各</w:t>
            </w:r>
            <w:r>
              <w:rPr>
                <w:rFonts w:hint="eastAsia"/>
                <w:color w:val="auto"/>
                <w:sz w:val="21"/>
                <w:szCs w:val="21"/>
                <w:highlight w:val="none"/>
                <w:lang w:val="en-US"/>
              </w:rPr>
              <w:t>成员</w:t>
            </w:r>
            <w:r>
              <w:rPr>
                <w:rFonts w:hint="eastAsia"/>
                <w:color w:val="auto"/>
                <w:sz w:val="21"/>
                <w:szCs w:val="21"/>
                <w:highlight w:val="none"/>
              </w:rPr>
              <w:t>均须具</w:t>
            </w:r>
            <w:r>
              <w:rPr>
                <w:rFonts w:hint="eastAsia"/>
                <w:color w:val="auto"/>
                <w:sz w:val="21"/>
                <w:szCs w:val="21"/>
                <w:highlight w:val="none"/>
                <w:lang w:val="en-US"/>
              </w:rPr>
              <w:t>有交通运输部颁发的公路工程综合甲级试验检测资质证书或省级及以上技术监督部门颁发的</w:t>
            </w:r>
            <w:r>
              <w:rPr>
                <w:rFonts w:hint="eastAsia"/>
                <w:color w:val="auto"/>
                <w:sz w:val="21"/>
                <w:szCs w:val="21"/>
                <w:highlight w:val="none"/>
              </w:rPr>
              <w:t>计量认证（CMA）合格证书；</w:t>
            </w:r>
          </w:p>
          <w:p>
            <w:pPr>
              <w:pStyle w:val="110"/>
              <w:widowControl/>
              <w:autoSpaceDE w:val="0"/>
              <w:autoSpaceDN w:val="0"/>
              <w:snapToGrid w:val="0"/>
              <w:spacing w:line="360" w:lineRule="exact"/>
              <w:ind w:firstLine="420" w:firstLineChars="200"/>
              <w:rPr>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rPr>
              <w:t>联合体</w:t>
            </w:r>
            <w:r>
              <w:rPr>
                <w:rFonts w:hint="eastAsia"/>
                <w:color w:val="auto"/>
                <w:sz w:val="21"/>
                <w:szCs w:val="21"/>
                <w:highlight w:val="none"/>
                <w:lang w:val="en-US"/>
              </w:rPr>
              <w:t>牵头人应为承担养护对策分析工作的单位；</w:t>
            </w:r>
          </w:p>
          <w:p>
            <w:pPr>
              <w:pStyle w:val="110"/>
              <w:widowControl/>
              <w:autoSpaceDE w:val="0"/>
              <w:autoSpaceDN w:val="0"/>
              <w:snapToGrid w:val="0"/>
              <w:spacing w:line="360" w:lineRule="exact"/>
              <w:ind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联合体各</w:t>
            </w:r>
            <w:r>
              <w:rPr>
                <w:rFonts w:hint="eastAsia"/>
                <w:color w:val="auto"/>
                <w:sz w:val="21"/>
                <w:szCs w:val="21"/>
                <w:highlight w:val="none"/>
                <w:lang w:val="en-US"/>
              </w:rPr>
              <w:t>成员</w:t>
            </w:r>
            <w:r>
              <w:rPr>
                <w:rFonts w:hint="eastAsia"/>
                <w:color w:val="auto"/>
                <w:sz w:val="21"/>
                <w:szCs w:val="21"/>
                <w:highlight w:val="none"/>
              </w:rPr>
              <w:t>分别具有的CMA证书总检测范围应涵盖本项目全部检测项目（具有路面平整度、路面破损或路面裂缝调查、路面车辙等检测能力；具有桥梁和隧道检测能力）。</w:t>
            </w:r>
          </w:p>
        </w:tc>
      </w:tr>
    </w:tbl>
    <w:p>
      <w:pPr>
        <w:pStyle w:val="4"/>
        <w:spacing w:line="240" w:lineRule="auto"/>
        <w:jc w:val="center"/>
        <w:rPr>
          <w:rFonts w:ascii="宋体"/>
          <w:color w:val="auto"/>
          <w:sz w:val="24"/>
          <w:szCs w:val="24"/>
          <w:highlight w:val="none"/>
        </w:rPr>
      </w:pPr>
      <w:r>
        <w:rPr>
          <w:rFonts w:hint="eastAsia" w:ascii="宋体"/>
          <w:color w:val="auto"/>
          <w:sz w:val="24"/>
          <w:szCs w:val="24"/>
          <w:highlight w:val="none"/>
        </w:rPr>
        <w:t xml:space="preserve">附录2  资质审查条件（业绩最低要求） </w:t>
      </w:r>
    </w:p>
    <w:bookmarkEnd w:id="2"/>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45" w:type="dxa"/>
            <w:vAlign w:val="center"/>
          </w:tcPr>
          <w:p>
            <w:pPr>
              <w:pStyle w:val="23"/>
              <w:autoSpaceDE w:val="0"/>
              <w:autoSpaceDN w:val="0"/>
              <w:spacing w:before="0" w:beforeAutospacing="0" w:after="0" w:afterAutospacing="0" w:line="340" w:lineRule="exact"/>
              <w:contextualSpacing/>
              <w:jc w:val="center"/>
              <w:rPr>
                <w:rFonts w:cs="宋体"/>
                <w:color w:val="auto"/>
                <w:sz w:val="21"/>
                <w:szCs w:val="21"/>
                <w:highlight w:val="none"/>
              </w:rPr>
            </w:pPr>
            <w:bookmarkStart w:id="3" w:name="_Toc536788773"/>
            <w:r>
              <w:rPr>
                <w:rFonts w:hint="eastAsia" w:cs="宋体"/>
                <w:color w:val="auto"/>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9645" w:type="dxa"/>
            <w:vAlign w:val="center"/>
          </w:tcPr>
          <w:p>
            <w:pPr>
              <w:autoSpaceDE w:val="0"/>
              <w:autoSpaceDN w:val="0"/>
              <w:snapToGrid w:val="0"/>
              <w:spacing w:line="360" w:lineRule="exact"/>
              <w:jc w:val="left"/>
              <w:rPr>
                <w:rFonts w:ascii="宋体" w:hAnsi="宋体" w:cs="宋体"/>
                <w:b/>
                <w:bCs/>
                <w:color w:val="auto"/>
                <w:kern w:val="0"/>
                <w:sz w:val="21"/>
                <w:szCs w:val="21"/>
                <w:highlight w:val="none"/>
              </w:rPr>
            </w:pPr>
            <w:r>
              <w:rPr>
                <w:rFonts w:hint="eastAsia"/>
                <w:b/>
                <w:bCs/>
                <w:color w:val="auto"/>
                <w:sz w:val="21"/>
                <w:szCs w:val="21"/>
                <w:highlight w:val="none"/>
              </w:rPr>
              <w:t>投标人独立投标的:</w:t>
            </w:r>
          </w:p>
          <w:p>
            <w:pPr>
              <w:autoSpaceDE w:val="0"/>
              <w:autoSpaceDN w:val="0"/>
              <w:snapToGrid w:val="0"/>
              <w:spacing w:line="3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近三年(2019年9月1日至今，以合同签订时间为准），至少每年完成过一个</w:t>
            </w:r>
            <w:r>
              <w:rPr>
                <w:rFonts w:ascii="宋体" w:hAnsi="宋体" w:cs="宋体"/>
                <w:color w:val="auto"/>
                <w:kern w:val="0"/>
                <w:sz w:val="21"/>
                <w:szCs w:val="21"/>
                <w:highlight w:val="none"/>
              </w:rPr>
              <w:t>1000</w:t>
            </w:r>
            <w:r>
              <w:rPr>
                <w:rFonts w:hint="eastAsia" w:ascii="宋体" w:hAnsi="宋体" w:cs="宋体"/>
                <w:color w:val="auto"/>
                <w:kern w:val="0"/>
                <w:sz w:val="21"/>
                <w:szCs w:val="21"/>
                <w:highlight w:val="none"/>
              </w:rPr>
              <w:t>车道公里以上的高速公路路况检测项目，完成过高速公路特大桥梁检测项目累计长度不低于</w:t>
            </w:r>
            <w:r>
              <w:rPr>
                <w:rFonts w:ascii="宋体" w:hAnsi="宋体" w:cs="宋体"/>
                <w:color w:val="auto"/>
                <w:kern w:val="0"/>
                <w:sz w:val="21"/>
                <w:szCs w:val="21"/>
                <w:highlight w:val="none"/>
              </w:rPr>
              <w:t>5000</w:t>
            </w:r>
            <w:r>
              <w:rPr>
                <w:rFonts w:hint="eastAsia" w:ascii="宋体" w:hAnsi="宋体" w:cs="宋体"/>
                <w:color w:val="auto"/>
                <w:kern w:val="0"/>
                <w:sz w:val="21"/>
                <w:szCs w:val="21"/>
                <w:highlight w:val="none"/>
              </w:rPr>
              <w:t>延米，完成过不少于</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座的高速公路长隧道或特长隧道检测。</w:t>
            </w:r>
          </w:p>
          <w:p>
            <w:pPr>
              <w:autoSpaceDE w:val="0"/>
              <w:autoSpaceDN w:val="0"/>
              <w:snapToGrid w:val="0"/>
              <w:spacing w:line="360" w:lineRule="exact"/>
              <w:jc w:val="left"/>
              <w:rPr>
                <w:b/>
                <w:bCs/>
                <w:color w:val="auto"/>
                <w:sz w:val="21"/>
                <w:szCs w:val="21"/>
                <w:highlight w:val="none"/>
              </w:rPr>
            </w:pPr>
            <w:r>
              <w:rPr>
                <w:rFonts w:hint="eastAsia"/>
                <w:b/>
                <w:bCs/>
                <w:color w:val="auto"/>
                <w:sz w:val="21"/>
                <w:szCs w:val="21"/>
                <w:highlight w:val="none"/>
              </w:rPr>
              <w:t>投标人以联合体形式投标的：</w:t>
            </w:r>
          </w:p>
          <w:p>
            <w:pPr>
              <w:autoSpaceDE w:val="0"/>
              <w:autoSpaceDN w:val="0"/>
              <w:snapToGrid w:val="0"/>
              <w:spacing w:line="3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要求承担路况检测的成员：近三年(2019年9月1日至今，以合同签订时间为准），至少每年完成过一个1000车道公里以上的高速公路路况检测项目</w:t>
            </w:r>
            <w:r>
              <w:rPr>
                <w:rFonts w:ascii="宋体" w:hAnsi="宋体" w:cs="宋体"/>
                <w:color w:val="auto"/>
                <w:kern w:val="0"/>
                <w:sz w:val="21"/>
                <w:szCs w:val="21"/>
                <w:highlight w:val="none"/>
              </w:rPr>
              <w:t>;</w:t>
            </w:r>
          </w:p>
          <w:p>
            <w:pPr>
              <w:autoSpaceDE w:val="0"/>
              <w:autoSpaceDN w:val="0"/>
              <w:snapToGrid w:val="0"/>
              <w:spacing w:line="3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承担桥梁检测的成员：近三年(2019年9月1日至今，以合同签订时间为准），完成过高速公路特大桥梁检测项目累计长度不低于</w:t>
            </w:r>
            <w:r>
              <w:rPr>
                <w:rFonts w:ascii="宋体" w:hAnsi="宋体" w:cs="宋体"/>
                <w:color w:val="auto"/>
                <w:kern w:val="0"/>
                <w:sz w:val="21"/>
                <w:szCs w:val="21"/>
                <w:highlight w:val="none"/>
              </w:rPr>
              <w:t>5000</w:t>
            </w:r>
            <w:r>
              <w:rPr>
                <w:rFonts w:hint="eastAsia" w:ascii="宋体" w:hAnsi="宋体" w:cs="宋体"/>
                <w:color w:val="auto"/>
                <w:kern w:val="0"/>
                <w:sz w:val="21"/>
                <w:szCs w:val="21"/>
                <w:highlight w:val="none"/>
              </w:rPr>
              <w:t>延米</w:t>
            </w:r>
            <w:r>
              <w:rPr>
                <w:rFonts w:ascii="宋体" w:hAnsi="宋体" w:cs="宋体"/>
                <w:color w:val="auto"/>
                <w:kern w:val="0"/>
                <w:sz w:val="21"/>
                <w:szCs w:val="21"/>
                <w:highlight w:val="none"/>
              </w:rPr>
              <w:t>;</w:t>
            </w:r>
          </w:p>
          <w:p>
            <w:pPr>
              <w:autoSpaceDE w:val="0"/>
              <w:autoSpaceDN w:val="0"/>
              <w:snapToGrid w:val="0"/>
              <w:spacing w:line="3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承担隧道检测的成员：近三年(2019年9月1日至今，以合同签订时间为准），完成过不少于</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座的高速公路长隧道或特长隧道检测。</w:t>
            </w:r>
          </w:p>
        </w:tc>
      </w:tr>
    </w:tbl>
    <w:p>
      <w:pPr>
        <w:pStyle w:val="4"/>
        <w:spacing w:line="240" w:lineRule="auto"/>
        <w:jc w:val="center"/>
        <w:rPr>
          <w:rFonts w:ascii="宋体" w:hAnsi="宋体"/>
          <w:color w:val="auto"/>
          <w:highlight w:val="none"/>
        </w:rPr>
      </w:pPr>
      <w:r>
        <w:rPr>
          <w:rFonts w:hint="eastAsia" w:ascii="宋体" w:hAnsi="宋体"/>
          <w:color w:val="auto"/>
          <w:sz w:val="24"/>
          <w:szCs w:val="24"/>
          <w:highlight w:val="none"/>
        </w:rPr>
        <w:t>附录3  资质审查条件（信誉最低要求）</w:t>
      </w:r>
      <w:bookmarkEnd w:id="3"/>
      <w:r>
        <w:rPr>
          <w:rFonts w:hint="eastAsia" w:ascii="宋体" w:hAnsi="宋体"/>
          <w:color w:val="auto"/>
          <w:sz w:val="24"/>
          <w:szCs w:val="24"/>
          <w:highlight w:val="none"/>
        </w:rPr>
        <w:t xml:space="preserve"> </w:t>
      </w:r>
      <w:r>
        <w:rPr>
          <w:rFonts w:hint="eastAsia" w:ascii="宋体" w:hAnsi="宋体"/>
          <w:b w:val="0"/>
          <w:color w:val="auto"/>
          <w:sz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29" w:type="dxa"/>
            <w:vMerge w:val="restart"/>
            <w:vAlign w:val="center"/>
          </w:tcPr>
          <w:p>
            <w:pPr>
              <w:adjustRightInd w:val="0"/>
              <w:snapToGrid w:val="0"/>
              <w:jc w:val="left"/>
              <w:rPr>
                <w:rFonts w:ascii="宋体" w:hAnsi="宋体"/>
                <w:color w:val="auto"/>
                <w:sz w:val="21"/>
                <w:szCs w:val="21"/>
                <w:highlight w:val="none"/>
              </w:rPr>
            </w:pPr>
            <w:r>
              <w:rPr>
                <w:rFonts w:hint="eastAsia" w:ascii="宋体" w:hAnsi="宋体"/>
                <w:color w:val="auto"/>
                <w:sz w:val="21"/>
                <w:szCs w:val="21"/>
                <w:highlight w:val="none"/>
              </w:rPr>
              <w:t>投标人过去1年（2021年9月1日至今）中不曾在高速公路检测</w:t>
            </w:r>
            <w:r>
              <w:rPr>
                <w:color w:val="auto"/>
                <w:sz w:val="21"/>
                <w:szCs w:val="21"/>
                <w:highlight w:val="none"/>
              </w:rPr>
              <w:t>工程合同</w:t>
            </w:r>
            <w:r>
              <w:rPr>
                <w:rFonts w:hint="eastAsia" w:ascii="宋体" w:hAnsi="宋体"/>
                <w:color w:val="auto"/>
                <w:sz w:val="21"/>
                <w:szCs w:val="21"/>
                <w:highlight w:val="none"/>
              </w:rPr>
              <w:t>中违约而被驱逐或因投标人自身的原因而使合同被解除。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629" w:type="dxa"/>
            <w:vMerge w:val="continue"/>
            <w:vAlign w:val="center"/>
          </w:tcPr>
          <w:p>
            <w:pPr>
              <w:rPr>
                <w:rFonts w:ascii="宋体" w:hAnsi="宋体"/>
                <w:color w:val="auto"/>
                <w:sz w:val="21"/>
                <w:szCs w:val="21"/>
                <w:highlight w:val="none"/>
              </w:rPr>
            </w:pPr>
          </w:p>
        </w:tc>
      </w:tr>
    </w:tbl>
    <w:p>
      <w:pPr>
        <w:rPr>
          <w:rFonts w:ascii="宋体" w:hAnsi="宋体"/>
          <w:b/>
          <w:color w:val="auto"/>
          <w:sz w:val="24"/>
          <w:highlight w:val="none"/>
        </w:rPr>
      </w:pPr>
    </w:p>
    <w:p>
      <w:pPr>
        <w:jc w:val="left"/>
        <w:rPr>
          <w:rFonts w:ascii="宋体" w:hAnsi="宋体"/>
          <w:b/>
          <w:color w:val="auto"/>
          <w:sz w:val="24"/>
          <w:highlight w:val="none"/>
        </w:rPr>
      </w:pPr>
      <w:r>
        <w:rPr>
          <w:rFonts w:hint="eastAsia" w:ascii="宋体" w:hAnsi="宋体"/>
          <w:b/>
          <w:color w:val="auto"/>
          <w:sz w:val="24"/>
          <w:highlight w:val="none"/>
        </w:rPr>
        <w:br w:type="page"/>
      </w:r>
    </w:p>
    <w:p>
      <w:pPr>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 xml:space="preserve">附录4 资格审查条件（项目负责人和技术负责人最低要求） </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2"/>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2" w:type="dxa"/>
            <w:vAlign w:val="center"/>
          </w:tcPr>
          <w:p>
            <w:pPr>
              <w:pStyle w:val="23"/>
              <w:snapToGrid w:val="0"/>
              <w:spacing w:before="0" w:beforeAutospacing="0" w:after="0" w:afterAutospacing="0" w:line="360" w:lineRule="exact"/>
              <w:contextualSpacing/>
              <w:jc w:val="center"/>
              <w:rPr>
                <w:color w:val="auto"/>
                <w:sz w:val="21"/>
                <w:szCs w:val="21"/>
                <w:highlight w:val="none"/>
              </w:rPr>
            </w:pPr>
            <w:r>
              <w:rPr>
                <w:rFonts w:hint="eastAsia"/>
                <w:color w:val="auto"/>
                <w:sz w:val="21"/>
                <w:szCs w:val="21"/>
                <w:highlight w:val="none"/>
              </w:rPr>
              <w:t>人   员</w:t>
            </w:r>
          </w:p>
        </w:tc>
        <w:tc>
          <w:tcPr>
            <w:tcW w:w="992" w:type="dxa"/>
            <w:vAlign w:val="center"/>
          </w:tcPr>
          <w:p>
            <w:pPr>
              <w:pStyle w:val="23"/>
              <w:snapToGrid w:val="0"/>
              <w:spacing w:before="0" w:beforeAutospacing="0" w:after="0" w:afterAutospacing="0" w:line="360" w:lineRule="exact"/>
              <w:ind w:firstLine="0"/>
              <w:contextualSpacing/>
              <w:jc w:val="both"/>
              <w:rPr>
                <w:color w:val="auto"/>
                <w:sz w:val="21"/>
                <w:szCs w:val="21"/>
                <w:highlight w:val="none"/>
              </w:rPr>
            </w:pPr>
            <w:r>
              <w:rPr>
                <w:rFonts w:hint="eastAsia"/>
                <w:color w:val="auto"/>
                <w:sz w:val="21"/>
                <w:szCs w:val="21"/>
                <w:highlight w:val="none"/>
              </w:rPr>
              <w:t>数量</w:t>
            </w:r>
          </w:p>
        </w:tc>
        <w:tc>
          <w:tcPr>
            <w:tcW w:w="6452" w:type="dxa"/>
            <w:vAlign w:val="center"/>
          </w:tcPr>
          <w:p>
            <w:pPr>
              <w:pStyle w:val="23"/>
              <w:snapToGrid w:val="0"/>
              <w:spacing w:before="0" w:beforeAutospacing="0" w:after="0" w:afterAutospacing="0" w:line="360" w:lineRule="exact"/>
              <w:contextualSpacing/>
              <w:jc w:val="center"/>
              <w:rPr>
                <w:color w:val="auto"/>
                <w:sz w:val="21"/>
                <w:szCs w:val="21"/>
                <w:highlight w:val="none"/>
              </w:rPr>
            </w:pPr>
            <w:r>
              <w:rPr>
                <w:rFonts w:hint="eastAsia"/>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2302" w:type="dxa"/>
            <w:vAlign w:val="center"/>
          </w:tcPr>
          <w:p>
            <w:pPr>
              <w:snapToGrid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项目负责人</w:t>
            </w:r>
          </w:p>
        </w:tc>
        <w:tc>
          <w:tcPr>
            <w:tcW w:w="992" w:type="dxa"/>
            <w:vAlign w:val="center"/>
          </w:tcPr>
          <w:p>
            <w:pPr>
              <w:snapToGrid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1</w:t>
            </w:r>
          </w:p>
        </w:tc>
        <w:tc>
          <w:tcPr>
            <w:tcW w:w="6452" w:type="dxa"/>
            <w:vAlign w:val="center"/>
          </w:tcPr>
          <w:p>
            <w:pPr>
              <w:snapToGrid w:val="0"/>
              <w:spacing w:line="360" w:lineRule="exact"/>
              <w:jc w:val="left"/>
              <w:rPr>
                <w:rFonts w:ascii="宋体" w:hAnsi="宋体"/>
                <w:color w:val="auto"/>
                <w:sz w:val="21"/>
                <w:szCs w:val="21"/>
                <w:highlight w:val="none"/>
              </w:rPr>
            </w:pPr>
            <w:r>
              <w:rPr>
                <w:rFonts w:hint="eastAsia" w:ascii="宋体" w:hAnsi="宋体"/>
                <w:color w:val="auto"/>
                <w:sz w:val="21"/>
                <w:szCs w:val="21"/>
                <w:highlight w:val="none"/>
              </w:rPr>
              <w:t>高级职称，具有交通运输主管部门颁发的公路工程试验检测工程师证书或公路水运工程试验检测师证书。近3年内（2019年9月1日至今，以合同签订时间为准），至少担任过一项</w:t>
            </w:r>
            <w:r>
              <w:rPr>
                <w:rFonts w:hint="eastAsia" w:ascii="宋体"/>
                <w:color w:val="auto"/>
                <w:sz w:val="21"/>
                <w:szCs w:val="21"/>
                <w:highlight w:val="none"/>
              </w:rPr>
              <w:t>高速公路定期检测项目</w:t>
            </w:r>
            <w:r>
              <w:rPr>
                <w:rFonts w:hint="eastAsia" w:ascii="宋体" w:hAnsi="宋体"/>
                <w:color w:val="auto"/>
                <w:sz w:val="21"/>
                <w:szCs w:val="21"/>
                <w:highlight w:val="none"/>
              </w:rPr>
              <w:t>的项目负责人。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2302" w:type="dxa"/>
            <w:vAlign w:val="center"/>
          </w:tcPr>
          <w:p>
            <w:pPr>
              <w:snapToGrid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992" w:type="dxa"/>
            <w:vAlign w:val="center"/>
          </w:tcPr>
          <w:p>
            <w:pPr>
              <w:snapToGrid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2</w:t>
            </w:r>
          </w:p>
        </w:tc>
        <w:tc>
          <w:tcPr>
            <w:tcW w:w="6452" w:type="dxa"/>
            <w:vAlign w:val="center"/>
          </w:tcPr>
          <w:p>
            <w:pPr>
              <w:snapToGrid w:val="0"/>
              <w:spacing w:line="360" w:lineRule="exact"/>
              <w:jc w:val="left"/>
              <w:rPr>
                <w:rFonts w:ascii="宋体" w:hAnsi="宋体"/>
                <w:color w:val="auto"/>
                <w:sz w:val="21"/>
                <w:szCs w:val="21"/>
                <w:highlight w:val="none"/>
              </w:rPr>
            </w:pPr>
            <w:r>
              <w:rPr>
                <w:rFonts w:hint="eastAsia" w:ascii="宋体" w:hAnsi="宋体"/>
                <w:color w:val="auto"/>
                <w:sz w:val="21"/>
                <w:szCs w:val="21"/>
                <w:highlight w:val="none"/>
              </w:rPr>
              <w:t>路面方向技术负责人：高级职称，近3年内（2019年9月1日至今，以合同签订时间为准），至少担任过1项高速公路路况检评分析项目的技术负责人。</w:t>
            </w:r>
          </w:p>
          <w:p>
            <w:pPr>
              <w:snapToGrid w:val="0"/>
              <w:spacing w:line="360" w:lineRule="exact"/>
              <w:jc w:val="left"/>
              <w:rPr>
                <w:rFonts w:ascii="宋体" w:hAnsi="宋体"/>
                <w:color w:val="auto"/>
                <w:sz w:val="21"/>
                <w:szCs w:val="21"/>
                <w:highlight w:val="none"/>
              </w:rPr>
            </w:pPr>
            <w:r>
              <w:rPr>
                <w:rFonts w:hint="eastAsia" w:ascii="宋体" w:hAnsi="宋体"/>
                <w:color w:val="auto"/>
                <w:sz w:val="21"/>
                <w:szCs w:val="21"/>
                <w:highlight w:val="none"/>
              </w:rPr>
              <w:t>桥隧方向技术负责人：高级职称，近3年内（2019年9月1日至今，以合同签订时间为准），至少担任过1项高速公路桥梁或隧道检测项目的技术负责人。</w:t>
            </w:r>
          </w:p>
        </w:tc>
      </w:tr>
    </w:tbl>
    <w:p>
      <w:pPr>
        <w:pStyle w:val="4"/>
        <w:spacing w:before="0" w:after="0" w:line="240" w:lineRule="auto"/>
        <w:rPr>
          <w:rFonts w:ascii="宋体" w:hAnsi="宋体"/>
          <w:color w:val="auto"/>
          <w:sz w:val="24"/>
          <w:highlight w:val="none"/>
        </w:rPr>
      </w:pPr>
      <w:r>
        <w:rPr>
          <w:rFonts w:ascii="宋体" w:hAnsi="宋体"/>
          <w:color w:val="auto"/>
          <w:highlight w:val="none"/>
        </w:rPr>
        <w:br w:type="page"/>
      </w:r>
      <w:r>
        <w:rPr>
          <w:rFonts w:hint="eastAsia" w:ascii="宋体" w:hAnsi="宋体"/>
          <w:color w:val="auto"/>
          <w:sz w:val="24"/>
          <w:highlight w:val="none"/>
        </w:rPr>
        <w:t>附件2：评标办法</w:t>
      </w:r>
    </w:p>
    <w:p>
      <w:pPr>
        <w:pStyle w:val="48"/>
        <w:spacing w:line="240" w:lineRule="auto"/>
        <w:outlineLvl w:val="9"/>
        <w:rPr>
          <w:rFonts w:ascii="宋体" w:hAnsi="宋体" w:eastAsia="宋体"/>
          <w:color w:val="auto"/>
          <w:sz w:val="30"/>
          <w:szCs w:val="30"/>
          <w:highlight w:val="none"/>
        </w:rPr>
      </w:pPr>
      <w:bookmarkStart w:id="4" w:name="_Toc450319202"/>
      <w:bookmarkStart w:id="5" w:name="_Toc459307890"/>
      <w:bookmarkStart w:id="6" w:name="_Toc502992691"/>
      <w:bookmarkStart w:id="7" w:name="_Toc17359315"/>
      <w:bookmarkStart w:id="8" w:name="_Toc509660966"/>
      <w:bookmarkStart w:id="9" w:name="_Toc509659998"/>
      <w:bookmarkStart w:id="10" w:name="_Toc444088432"/>
      <w:bookmarkStart w:id="11" w:name="_Toc444271617"/>
      <w:bookmarkStart w:id="12" w:name="_Toc445382083"/>
      <w:bookmarkStart w:id="13" w:name="_Toc445222503"/>
      <w:r>
        <w:rPr>
          <w:rFonts w:hint="eastAsia" w:ascii="宋体" w:hAnsi="宋体" w:eastAsia="宋体"/>
          <w:color w:val="auto"/>
          <w:sz w:val="30"/>
          <w:szCs w:val="30"/>
          <w:highlight w:val="none"/>
        </w:rPr>
        <w:t>评标办法（综合评估法）</w:t>
      </w:r>
      <w:bookmarkEnd w:id="4"/>
      <w:bookmarkEnd w:id="5"/>
      <w:bookmarkEnd w:id="6"/>
      <w:bookmarkEnd w:id="7"/>
      <w:bookmarkEnd w:id="8"/>
      <w:bookmarkEnd w:id="9"/>
    </w:p>
    <w:bookmarkEnd w:id="0"/>
    <w:bookmarkEnd w:id="10"/>
    <w:bookmarkEnd w:id="11"/>
    <w:bookmarkEnd w:id="12"/>
    <w:bookmarkEnd w:id="13"/>
    <w:p>
      <w:pPr>
        <w:pStyle w:val="49"/>
        <w:spacing w:line="276" w:lineRule="auto"/>
        <w:outlineLvl w:val="9"/>
        <w:rPr>
          <w:rFonts w:ascii="宋体" w:hAnsi="宋体"/>
          <w:color w:val="auto"/>
          <w:sz w:val="24"/>
          <w:szCs w:val="24"/>
          <w:highlight w:val="none"/>
        </w:rPr>
      </w:pPr>
      <w:bookmarkStart w:id="14" w:name="_Toc259638685"/>
      <w:r>
        <w:rPr>
          <w:rFonts w:hint="eastAsia" w:ascii="宋体" w:hAnsi="宋体"/>
          <w:color w:val="auto"/>
          <w:sz w:val="24"/>
          <w:szCs w:val="24"/>
          <w:highlight w:val="none"/>
        </w:rPr>
        <w:t>评标办法前附表</w:t>
      </w:r>
    </w:p>
    <w:tbl>
      <w:tblPr>
        <w:tblStyle w:val="2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条款号</w:t>
            </w:r>
          </w:p>
        </w:tc>
        <w:tc>
          <w:tcPr>
            <w:tcW w:w="1052"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条款名称</w:t>
            </w:r>
          </w:p>
        </w:tc>
        <w:tc>
          <w:tcPr>
            <w:tcW w:w="7250"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052"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评标办法</w:t>
            </w:r>
          </w:p>
        </w:tc>
        <w:tc>
          <w:tcPr>
            <w:tcW w:w="7250" w:type="dxa"/>
            <w:vAlign w:val="center"/>
          </w:tcPr>
          <w:p>
            <w:pPr>
              <w:snapToGrid w:val="0"/>
              <w:spacing w:line="280" w:lineRule="exact"/>
              <w:ind w:firstLine="404" w:firstLineChars="200"/>
              <w:jc w:val="left"/>
              <w:rPr>
                <w:rFonts w:ascii="宋体" w:hAnsi="宋体" w:cs="宋体"/>
                <w:color w:val="auto"/>
                <w:spacing w:val="-4"/>
                <w:sz w:val="21"/>
                <w:szCs w:val="21"/>
                <w:highlight w:val="none"/>
              </w:rPr>
            </w:pPr>
            <w:r>
              <w:rPr>
                <w:rFonts w:hint="eastAsia" w:ascii="宋体" w:hAnsi="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napToGrid w:val="0"/>
              <w:spacing w:line="280" w:lineRule="exact"/>
              <w:ind w:left="273" w:leftChars="97" w:hanging="1"/>
              <w:jc w:val="left"/>
              <w:rPr>
                <w:rFonts w:ascii="宋体" w:hAnsi="宋体" w:cs="宋体"/>
                <w:color w:val="auto"/>
                <w:spacing w:val="-4"/>
                <w:sz w:val="21"/>
                <w:szCs w:val="21"/>
                <w:highlight w:val="none"/>
              </w:rPr>
            </w:pPr>
            <w:r>
              <w:rPr>
                <w:rFonts w:hint="eastAsia" w:ascii="宋体" w:hAnsi="宋体" w:cs="宋体"/>
                <w:color w:val="auto"/>
                <w:spacing w:val="-4"/>
                <w:sz w:val="21"/>
                <w:szCs w:val="21"/>
                <w:highlight w:val="none"/>
              </w:rPr>
              <w:t>（1）评标价低的投标人优先；</w:t>
            </w:r>
          </w:p>
          <w:p>
            <w:pPr>
              <w:snapToGrid w:val="0"/>
              <w:spacing w:line="280" w:lineRule="exact"/>
              <w:ind w:left="273" w:leftChars="97" w:hanging="1"/>
              <w:jc w:val="left"/>
              <w:rPr>
                <w:rFonts w:ascii="宋体" w:hAnsi="宋体" w:cs="宋体"/>
                <w:color w:val="auto"/>
                <w:spacing w:val="-4"/>
                <w:sz w:val="21"/>
                <w:szCs w:val="21"/>
                <w:highlight w:val="none"/>
              </w:rPr>
            </w:pPr>
            <w:r>
              <w:rPr>
                <w:rFonts w:hint="eastAsia" w:ascii="宋体" w:hAnsi="宋体" w:cs="宋体"/>
                <w:color w:val="auto"/>
                <w:spacing w:val="-4"/>
                <w:sz w:val="21"/>
                <w:szCs w:val="21"/>
                <w:highlight w:val="none"/>
              </w:rPr>
              <w:t>（2）技术建议书得分较高的投标人优先；</w:t>
            </w:r>
          </w:p>
          <w:p>
            <w:pPr>
              <w:snapToGrid w:val="0"/>
              <w:spacing w:line="280" w:lineRule="exact"/>
              <w:ind w:left="273" w:leftChars="97" w:hanging="1"/>
              <w:jc w:val="left"/>
              <w:rPr>
                <w:rFonts w:ascii="宋体" w:hAnsi="宋体" w:cs="宋体"/>
                <w:color w:val="auto"/>
                <w:spacing w:val="-4"/>
                <w:sz w:val="21"/>
                <w:szCs w:val="21"/>
                <w:highlight w:val="none"/>
              </w:rPr>
            </w:pPr>
            <w:r>
              <w:rPr>
                <w:rFonts w:hint="eastAsia" w:ascii="宋体" w:hAnsi="宋体" w:cs="宋体"/>
                <w:color w:val="auto"/>
                <w:spacing w:val="-4"/>
                <w:sz w:val="21"/>
                <w:szCs w:val="21"/>
                <w:highlight w:val="none"/>
              </w:rPr>
              <w:t>（3）投标人近3年内满足资格审查条件(业绩最低条件)要求的单项合同金额高的优先。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2.1.1</w:t>
            </w:r>
          </w:p>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052"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形式评审与响应性评审标准</w:t>
            </w:r>
          </w:p>
        </w:tc>
        <w:tc>
          <w:tcPr>
            <w:tcW w:w="7250" w:type="dxa"/>
          </w:tcPr>
          <w:p>
            <w:pPr>
              <w:tabs>
                <w:tab w:val="left" w:pos="3060"/>
              </w:tabs>
              <w:snapToGrid w:val="0"/>
              <w:spacing w:line="28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第一个信封（商务及技术文件）评审标准:</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（1）投标文件按照招标文件规定的格式、内容填写，字迹清晰可辨：</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a.投标函按招标文件规定填报了项目名称、质量要求、服务期限及项目负责人和技术负责人信息；</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b.投标文件组成齐全完整，内容均按规定填写。</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（2）投标文件上法定代表人或其授权代理人的签字、投标人的单位章盖章齐全，符合招标文件规定。</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（3）投标人按照招标文件的规定提供了投标保证金：</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a.投标保证金金额符合招标文件规定的金额，且投标保证金有效期不少于投标有效期；</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（5）投标人法定代表人亲自签署投标文件的，提供了法定代表人身份证明，法定代表人身份证明的签字盖章符合招标文件规定。</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（6）投标人以联合体形式投标时，联合体满足招标文件要求：投标人按照招标文件提供的格式签订了联合体协议书，明确各方承担连带责任，并明确了联合体牵头人。</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（7）投标人未对本项目提出分包计划。</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（8）同一投标人未提交两个以上不同的投标文件。</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（9）投标文件第一信封中未出现有关投标报价的内容。</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（10）投标文件载明的招标项目完成期限未超过招标文件规定的时限。</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（11）投标文件对招标文件的实质性要求和条件作出响应。</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（12）权利义务符合招标文件规定：</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a.投标人应接受招标文件规定的风险划分原则，未提出新的风险划分办法；</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b.投标人未增加招标人的责任范围，或减少投标人义务；</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c.投标人未提出不同的支付办法；</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d.投标人对合同纠纷、事故处理办法未提出异议；</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e.投标人在投标活动中无欺诈行为；</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f.投标人未对合同条款有重要保留。</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(13)投标人名称与营业执照、基本账户开户许可证（或基本存款账户信息）一致，</w:t>
            </w:r>
          </w:p>
          <w:p>
            <w:pPr>
              <w:tabs>
                <w:tab w:val="left" w:pos="3060"/>
              </w:tabs>
              <w:snapToGrid w:val="0"/>
              <w:spacing w:line="28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第二个信封（报价文件）评审标准：</w:t>
            </w:r>
          </w:p>
          <w:p>
            <w:pPr>
              <w:tabs>
                <w:tab w:val="left" w:pos="3060"/>
              </w:tabs>
              <w:snapToGrid w:val="0"/>
              <w:spacing w:line="280" w:lineRule="exact"/>
              <w:ind w:firstLine="205" w:firstLineChars="9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（1）投标文件按照招标文件规定的格式、内容填写，字迹清晰可辨：</w:t>
            </w:r>
          </w:p>
          <w:p>
            <w:pPr>
              <w:tabs>
                <w:tab w:val="left" w:pos="3060"/>
              </w:tabs>
              <w:snapToGrid w:val="0"/>
              <w:spacing w:line="280" w:lineRule="exact"/>
              <w:ind w:firstLine="205" w:firstLineChars="9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a.投标函按招标文件规定填报了项目名称、投标价（包括大写金额和小写金额）；</w:t>
            </w:r>
          </w:p>
          <w:p>
            <w:pPr>
              <w:tabs>
                <w:tab w:val="left" w:pos="3060"/>
              </w:tabs>
              <w:snapToGrid w:val="0"/>
              <w:spacing w:line="280" w:lineRule="exact"/>
              <w:ind w:firstLine="205" w:firstLineChars="9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b．投标文件组成齐全完整，内容均按规定填写。</w:t>
            </w:r>
          </w:p>
          <w:p>
            <w:pPr>
              <w:tabs>
                <w:tab w:val="left" w:pos="3060"/>
              </w:tabs>
              <w:snapToGrid w:val="0"/>
              <w:spacing w:line="2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（2）投标文件上法定代表人或其授权代理人的签字、投标人的单位章盖章齐全，符合招标文件规定。</w:t>
            </w:r>
          </w:p>
          <w:p>
            <w:pPr>
              <w:tabs>
                <w:tab w:val="left" w:pos="3060"/>
              </w:tabs>
              <w:snapToGrid w:val="0"/>
              <w:spacing w:line="280" w:lineRule="exact"/>
              <w:ind w:firstLine="105" w:firstLine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（3）投标函中的报价未超过招标文件设定的最高投标限价。</w:t>
            </w:r>
          </w:p>
          <w:p>
            <w:pPr>
              <w:tabs>
                <w:tab w:val="left" w:pos="3060"/>
              </w:tabs>
              <w:snapToGrid w:val="0"/>
              <w:spacing w:line="280" w:lineRule="exact"/>
              <w:ind w:firstLine="105" w:firstLine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（4）投标函中报价的大写金额能够确定具体数值。</w:t>
            </w:r>
          </w:p>
          <w:p>
            <w:pPr>
              <w:tabs>
                <w:tab w:val="left" w:pos="3060"/>
              </w:tabs>
              <w:snapToGrid w:val="0"/>
              <w:spacing w:line="280" w:lineRule="exact"/>
              <w:ind w:firstLine="105" w:firstLine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（5）同一投标人未提交两个以上不同的投标报价。</w:t>
            </w:r>
          </w:p>
          <w:p>
            <w:pPr>
              <w:tabs>
                <w:tab w:val="left" w:pos="3060"/>
              </w:tabs>
              <w:snapToGrid w:val="0"/>
              <w:spacing w:line="280" w:lineRule="exact"/>
              <w:ind w:firstLine="105" w:firstLineChars="50"/>
              <w:rPr>
                <w:color w:val="auto"/>
                <w:highlight w:val="none"/>
              </w:rPr>
            </w:pPr>
            <w:r>
              <w:rPr>
                <w:rFonts w:hint="eastAsia" w:asciiTheme="minorEastAsia" w:hAnsiTheme="minorEastAsia" w:eastAsiaTheme="minorEastAsia" w:cstheme="minorEastAsia"/>
                <w:color w:val="auto"/>
                <w:sz w:val="21"/>
                <w:szCs w:val="21"/>
                <w:highlight w:val="none"/>
              </w:rPr>
              <w:t>（6）清单报价与投标函文字报价一致。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2.1.2</w:t>
            </w:r>
          </w:p>
        </w:tc>
        <w:tc>
          <w:tcPr>
            <w:tcW w:w="1052"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250" w:type="dxa"/>
          </w:tcPr>
          <w:p>
            <w:pPr>
              <w:tabs>
                <w:tab w:val="left" w:pos="3060"/>
              </w:tabs>
              <w:snapToGrid w:val="0"/>
              <w:spacing w:line="280" w:lineRule="exact"/>
              <w:rPr>
                <w:color w:val="auto"/>
                <w:sz w:val="21"/>
                <w:szCs w:val="21"/>
                <w:highlight w:val="none"/>
              </w:rPr>
            </w:pPr>
            <w:r>
              <w:rPr>
                <w:color w:val="auto"/>
                <w:sz w:val="21"/>
                <w:szCs w:val="21"/>
                <w:highlight w:val="none"/>
              </w:rPr>
              <w:t>（1）投标人具备有效的营业执照和基本账户开户许可证（或基本存款账户信息）；</w:t>
            </w:r>
          </w:p>
          <w:p>
            <w:pPr>
              <w:tabs>
                <w:tab w:val="left" w:pos="3060"/>
              </w:tabs>
              <w:snapToGrid w:val="0"/>
              <w:spacing w:line="280" w:lineRule="exact"/>
              <w:rPr>
                <w:color w:val="auto"/>
                <w:sz w:val="21"/>
                <w:szCs w:val="21"/>
                <w:highlight w:val="none"/>
              </w:rPr>
            </w:pPr>
            <w:r>
              <w:rPr>
                <w:color w:val="auto"/>
                <w:sz w:val="21"/>
                <w:szCs w:val="21"/>
                <w:highlight w:val="none"/>
              </w:rPr>
              <w:t>（2）投标人的资质等级符合招标文件规定；</w:t>
            </w:r>
          </w:p>
          <w:p>
            <w:pPr>
              <w:tabs>
                <w:tab w:val="left" w:pos="3060"/>
              </w:tabs>
              <w:snapToGrid w:val="0"/>
              <w:spacing w:line="280" w:lineRule="exact"/>
              <w:rPr>
                <w:color w:val="auto"/>
                <w:sz w:val="21"/>
                <w:szCs w:val="21"/>
                <w:highlight w:val="none"/>
              </w:rPr>
            </w:pPr>
            <w:r>
              <w:rPr>
                <w:color w:val="auto"/>
                <w:sz w:val="21"/>
                <w:szCs w:val="21"/>
                <w:highlight w:val="none"/>
              </w:rPr>
              <w:t>（3）投标人的信誉符合招标文件规定；</w:t>
            </w:r>
          </w:p>
          <w:p>
            <w:pPr>
              <w:pStyle w:val="9"/>
              <w:snapToGrid w:val="0"/>
              <w:spacing w:after="0" w:line="280" w:lineRule="exact"/>
              <w:rPr>
                <w:color w:val="auto"/>
                <w:szCs w:val="21"/>
                <w:highlight w:val="none"/>
              </w:rPr>
            </w:pPr>
            <w:r>
              <w:rPr>
                <w:color w:val="auto"/>
                <w:szCs w:val="21"/>
                <w:highlight w:val="none"/>
              </w:rPr>
              <w:t>（4）投标人的项目负责人资格符合招标文件规定；</w:t>
            </w:r>
          </w:p>
          <w:p>
            <w:pPr>
              <w:tabs>
                <w:tab w:val="left" w:pos="3060"/>
              </w:tabs>
              <w:snapToGrid w:val="0"/>
              <w:spacing w:line="280" w:lineRule="exact"/>
              <w:rPr>
                <w:color w:val="auto"/>
                <w:sz w:val="21"/>
                <w:szCs w:val="21"/>
                <w:highlight w:val="none"/>
              </w:rPr>
            </w:pPr>
            <w:r>
              <w:rPr>
                <w:color w:val="auto"/>
                <w:sz w:val="21"/>
                <w:szCs w:val="21"/>
                <w:highlight w:val="none"/>
              </w:rPr>
              <w:t xml:space="preserve">（5）投标人不存在第二章“投标人须知”第1.4.3项、第1.4.4项规定的任何一种情形。 </w:t>
            </w:r>
          </w:p>
          <w:p>
            <w:pPr>
              <w:tabs>
                <w:tab w:val="left" w:pos="3060"/>
              </w:tabs>
              <w:snapToGrid w:val="0"/>
              <w:spacing w:line="28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如企业名称有变更的，应提供其变更记录或相关部门的合法批件复印件。</w:t>
            </w:r>
          </w:p>
          <w:p>
            <w:pPr>
              <w:pStyle w:val="16"/>
              <w:rPr>
                <w:color w:val="auto"/>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1052" w:type="dxa"/>
            <w:vAlign w:val="center"/>
          </w:tcPr>
          <w:p>
            <w:pPr>
              <w:snapToGrid w:val="0"/>
              <w:spacing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分值构成</w:t>
            </w:r>
          </w:p>
        </w:tc>
        <w:tc>
          <w:tcPr>
            <w:tcW w:w="7250" w:type="dxa"/>
            <w:vAlign w:val="center"/>
          </w:tcPr>
          <w:p>
            <w:pPr>
              <w:autoSpaceDE w:val="0"/>
              <w:autoSpaceDN w:val="0"/>
              <w:adjustRightInd w:val="0"/>
              <w:snapToGrid w:val="0"/>
              <w:spacing w:line="300" w:lineRule="exact"/>
              <w:ind w:left="107"/>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第一信封（商务及技术文件）评分分值构成：</w:t>
            </w:r>
          </w:p>
          <w:p>
            <w:pPr>
              <w:autoSpaceDE w:val="0"/>
              <w:autoSpaceDN w:val="0"/>
              <w:adjustRightInd w:val="0"/>
              <w:snapToGrid w:val="0"/>
              <w:spacing w:line="30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技术建议书：4</w:t>
            </w:r>
            <w:r>
              <w:rPr>
                <w:rFonts w:ascii="宋体" w:hAnsi="宋体" w:cs="宋体"/>
                <w:color w:val="auto"/>
                <w:sz w:val="21"/>
                <w:szCs w:val="21"/>
                <w:highlight w:val="none"/>
              </w:rPr>
              <w:t>0</w:t>
            </w:r>
            <w:r>
              <w:rPr>
                <w:rFonts w:hint="eastAsia" w:ascii="宋体" w:hAnsi="宋体" w:cs="宋体"/>
                <w:color w:val="auto"/>
                <w:sz w:val="21"/>
                <w:szCs w:val="21"/>
                <w:highlight w:val="none"/>
              </w:rPr>
              <w:t>分</w:t>
            </w:r>
          </w:p>
          <w:p>
            <w:pPr>
              <w:pStyle w:val="9"/>
              <w:snapToGrid w:val="0"/>
              <w:spacing w:after="0" w:line="300" w:lineRule="exact"/>
              <w:ind w:firstLine="210" w:firstLineChars="100"/>
              <w:rPr>
                <w:color w:val="auto"/>
                <w:szCs w:val="21"/>
                <w:highlight w:val="none"/>
              </w:rPr>
            </w:pPr>
            <w:r>
              <w:rPr>
                <w:rFonts w:hint="eastAsia" w:ascii="宋体" w:hAnsi="宋体" w:cs="宋体"/>
                <w:color w:val="auto"/>
                <w:szCs w:val="21"/>
                <w:highlight w:val="none"/>
              </w:rPr>
              <w:t>履约信誉： 5分</w:t>
            </w:r>
          </w:p>
          <w:p>
            <w:pPr>
              <w:autoSpaceDE w:val="0"/>
              <w:autoSpaceDN w:val="0"/>
              <w:adjustRightInd w:val="0"/>
              <w:snapToGrid w:val="0"/>
              <w:spacing w:line="30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主要人员： </w:t>
            </w:r>
            <w:r>
              <w:rPr>
                <w:rFonts w:ascii="宋体" w:hAnsi="宋体" w:cs="宋体"/>
                <w:color w:val="auto"/>
                <w:sz w:val="21"/>
                <w:szCs w:val="21"/>
                <w:highlight w:val="none"/>
              </w:rPr>
              <w:t>2</w:t>
            </w:r>
            <w:r>
              <w:rPr>
                <w:rFonts w:hint="eastAsia" w:ascii="宋体" w:hAnsi="宋体" w:cs="宋体"/>
                <w:color w:val="auto"/>
                <w:sz w:val="21"/>
                <w:szCs w:val="21"/>
                <w:highlight w:val="none"/>
              </w:rPr>
              <w:t>0分</w:t>
            </w:r>
          </w:p>
          <w:p>
            <w:pPr>
              <w:pStyle w:val="16"/>
              <w:spacing w:line="300" w:lineRule="exact"/>
              <w:ind w:firstLine="210" w:firstLineChars="100"/>
              <w:rPr>
                <w:color w:val="auto"/>
                <w:sz w:val="21"/>
                <w:szCs w:val="21"/>
                <w:highlight w:val="none"/>
              </w:rPr>
            </w:pPr>
            <w:r>
              <w:rPr>
                <w:rFonts w:hint="eastAsia" w:ascii="宋体" w:hAnsi="宋体" w:cs="宋体"/>
                <w:color w:val="auto"/>
                <w:sz w:val="21"/>
                <w:szCs w:val="21"/>
                <w:highlight w:val="none"/>
              </w:rPr>
              <w:t>业绩：    20分</w:t>
            </w:r>
          </w:p>
          <w:p>
            <w:pPr>
              <w:autoSpaceDE w:val="0"/>
              <w:autoSpaceDN w:val="0"/>
              <w:adjustRightInd w:val="0"/>
              <w:snapToGrid w:val="0"/>
              <w:spacing w:line="300" w:lineRule="exact"/>
              <w:ind w:firstLine="210" w:firstLineChars="1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技术能力： </w:t>
            </w:r>
            <w:r>
              <w:rPr>
                <w:rFonts w:ascii="宋体" w:hAnsi="宋体" w:cs="宋体"/>
                <w:color w:val="auto"/>
                <w:kern w:val="0"/>
                <w:sz w:val="21"/>
                <w:szCs w:val="21"/>
                <w:highlight w:val="none"/>
              </w:rPr>
              <w:t>5</w:t>
            </w:r>
            <w:r>
              <w:rPr>
                <w:rFonts w:hint="eastAsia" w:ascii="宋体" w:hAnsi="宋体" w:cs="宋体"/>
                <w:color w:val="auto"/>
                <w:kern w:val="0"/>
                <w:sz w:val="21"/>
                <w:szCs w:val="21"/>
                <w:highlight w:val="none"/>
              </w:rPr>
              <w:t>分</w:t>
            </w:r>
          </w:p>
          <w:p>
            <w:pPr>
              <w:autoSpaceDE w:val="0"/>
              <w:autoSpaceDN w:val="0"/>
              <w:adjustRightInd w:val="0"/>
              <w:snapToGrid w:val="0"/>
              <w:spacing w:line="300" w:lineRule="exact"/>
              <w:ind w:left="107"/>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第二信封（报价文件）评分分值构成：</w:t>
            </w:r>
          </w:p>
          <w:p>
            <w:pPr>
              <w:autoSpaceDE w:val="0"/>
              <w:autoSpaceDN w:val="0"/>
              <w:adjustRightInd w:val="0"/>
              <w:snapToGrid w:val="0"/>
              <w:spacing w:line="300" w:lineRule="exact"/>
              <w:ind w:left="107"/>
              <w:jc w:val="left"/>
              <w:rPr>
                <w:rFonts w:ascii="宋体" w:hAnsi="宋体" w:cs="宋体"/>
                <w:color w:val="auto"/>
                <w:sz w:val="21"/>
                <w:szCs w:val="21"/>
                <w:highlight w:val="none"/>
              </w:rPr>
            </w:pPr>
            <w:r>
              <w:rPr>
                <w:rFonts w:hint="eastAsia" w:ascii="宋体" w:hAnsi="宋体" w:cs="宋体"/>
                <w:color w:val="auto"/>
                <w:sz w:val="21"/>
                <w:szCs w:val="21"/>
                <w:highlight w:val="none"/>
              </w:rPr>
              <w:t>评标价：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vAlign w:val="center"/>
          </w:tcPr>
          <w:p>
            <w:pPr>
              <w:snapToGrid w:val="0"/>
              <w:spacing w:line="280" w:lineRule="exact"/>
              <w:ind w:right="113"/>
              <w:jc w:val="center"/>
              <w:rPr>
                <w:rFonts w:ascii="宋体" w:hAnsi="宋体" w:cs="宋体"/>
                <w:color w:val="auto"/>
                <w:sz w:val="21"/>
                <w:szCs w:val="21"/>
                <w:highlight w:val="none"/>
              </w:rPr>
            </w:pPr>
            <w:r>
              <w:rPr>
                <w:rFonts w:hint="eastAsia" w:ascii="宋体" w:hAnsi="宋体" w:cs="宋体"/>
                <w:color w:val="auto"/>
                <w:sz w:val="21"/>
                <w:szCs w:val="21"/>
                <w:highlight w:val="none"/>
              </w:rPr>
              <w:t>2.2.2</w:t>
            </w:r>
          </w:p>
        </w:tc>
        <w:tc>
          <w:tcPr>
            <w:tcW w:w="1052" w:type="dxa"/>
            <w:vAlign w:val="center"/>
          </w:tcPr>
          <w:p>
            <w:pPr>
              <w:snapToGrid w:val="0"/>
              <w:spacing w:line="280" w:lineRule="exact"/>
              <w:ind w:left="2"/>
              <w:jc w:val="center"/>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w:t>
            </w:r>
          </w:p>
        </w:tc>
        <w:tc>
          <w:tcPr>
            <w:tcW w:w="7250" w:type="dxa"/>
            <w:vAlign w:val="center"/>
          </w:tcPr>
          <w:p>
            <w:pPr>
              <w:snapToGrid w:val="0"/>
              <w:spacing w:line="280" w:lineRule="exact"/>
              <w:ind w:right="113"/>
              <w:rPr>
                <w:rFonts w:ascii="宋体" w:hAnsi="宋体" w:cs="宋体"/>
                <w:color w:val="auto"/>
                <w:sz w:val="21"/>
                <w:szCs w:val="21"/>
                <w:highlight w:val="none"/>
              </w:rPr>
            </w:pPr>
            <w:r>
              <w:rPr>
                <w:rFonts w:hint="eastAsia" w:ascii="宋体" w:hAnsi="宋体" w:cs="宋体"/>
                <w:color w:val="auto"/>
                <w:sz w:val="21"/>
                <w:szCs w:val="21"/>
                <w:highlight w:val="none"/>
              </w:rPr>
              <w:t>评标基准价的计算：</w:t>
            </w:r>
          </w:p>
          <w:p>
            <w:pPr>
              <w:snapToGrid w:val="0"/>
              <w:spacing w:line="280" w:lineRule="exact"/>
              <w:ind w:right="113"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所有通过第一个信封评审的投标文件，由评标委员会开启第二个信封，并当场计算并宣布评标基准价。</w:t>
            </w:r>
          </w:p>
          <w:p>
            <w:pPr>
              <w:snapToGrid w:val="0"/>
              <w:spacing w:line="280" w:lineRule="exact"/>
              <w:ind w:left="113" w:right="113"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（1）评标价的确定：</w:t>
            </w:r>
          </w:p>
          <w:p>
            <w:pPr>
              <w:snapToGrid w:val="0"/>
              <w:spacing w:line="280" w:lineRule="exact"/>
              <w:ind w:left="113" w:right="113"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评标价=投标函文字报价</w:t>
            </w:r>
          </w:p>
          <w:p>
            <w:pPr>
              <w:snapToGrid w:val="0"/>
              <w:spacing w:line="280" w:lineRule="exact"/>
              <w:ind w:left="113" w:right="113"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（2）评标价平均值的计算：</w:t>
            </w:r>
          </w:p>
          <w:p>
            <w:pPr>
              <w:snapToGrid w:val="0"/>
              <w:spacing w:line="280" w:lineRule="exact"/>
              <w:ind w:right="113"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280" w:lineRule="exact"/>
              <w:ind w:right="113"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（3）评标基准价的确定：</w:t>
            </w:r>
          </w:p>
          <w:p>
            <w:pPr>
              <w:pStyle w:val="54"/>
              <w:snapToGrid w:val="0"/>
              <w:spacing w:line="280" w:lineRule="exact"/>
              <w:ind w:firstLine="420" w:firstLineChars="200"/>
              <w:jc w:val="both"/>
              <w:rPr>
                <w:rFonts w:hAnsi="宋体"/>
                <w:color w:val="auto"/>
                <w:sz w:val="21"/>
                <w:szCs w:val="21"/>
                <w:highlight w:val="none"/>
              </w:rPr>
            </w:pPr>
            <w:r>
              <w:rPr>
                <w:rFonts w:hint="eastAsia" w:hAnsi="宋体"/>
                <w:color w:val="auto"/>
                <w:sz w:val="21"/>
                <w:szCs w:val="21"/>
                <w:highlight w:val="none"/>
              </w:rPr>
              <w:t>将评标价平均值直接作为评标基准价（评标基准价保留两位小数，小数点后第三位四舍五入）。</w:t>
            </w:r>
          </w:p>
          <w:p>
            <w:pPr>
              <w:snapToGrid w:val="0"/>
              <w:spacing w:line="280" w:lineRule="exact"/>
              <w:ind w:right="113" w:firstLine="426" w:firstLineChars="203"/>
              <w:rPr>
                <w:rFonts w:ascii="宋体" w:hAnsi="宋体" w:cs="宋体"/>
                <w:color w:val="auto"/>
                <w:sz w:val="21"/>
                <w:szCs w:val="21"/>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280" w:lineRule="exact"/>
              <w:ind w:right="113" w:firstLine="426" w:firstLineChars="203"/>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280" w:lineRule="exact"/>
              <w:ind w:right="113"/>
              <w:jc w:val="center"/>
              <w:rPr>
                <w:rFonts w:ascii="宋体" w:hAnsi="宋体" w:cs="宋体"/>
                <w:color w:val="auto"/>
                <w:sz w:val="21"/>
                <w:szCs w:val="21"/>
                <w:highlight w:val="none"/>
              </w:rPr>
            </w:pPr>
            <w:r>
              <w:rPr>
                <w:rFonts w:hint="eastAsia" w:ascii="宋体" w:hAnsi="宋体" w:cs="宋体"/>
                <w:color w:val="auto"/>
                <w:sz w:val="21"/>
                <w:szCs w:val="21"/>
                <w:highlight w:val="none"/>
              </w:rPr>
              <w:t>2.2.3</w:t>
            </w:r>
          </w:p>
        </w:tc>
        <w:tc>
          <w:tcPr>
            <w:tcW w:w="1052" w:type="dxa"/>
            <w:vAlign w:val="center"/>
          </w:tcPr>
          <w:p>
            <w:pPr>
              <w:snapToGrid w:val="0"/>
              <w:spacing w:line="280" w:lineRule="exact"/>
              <w:ind w:left="-42" w:leftChars="-15" w:right="-77"/>
              <w:jc w:val="center"/>
              <w:rPr>
                <w:rFonts w:ascii="宋体" w:hAnsi="宋体" w:cs="宋体"/>
                <w:color w:val="auto"/>
                <w:sz w:val="21"/>
                <w:szCs w:val="21"/>
                <w:highlight w:val="none"/>
              </w:rPr>
            </w:pPr>
            <w:r>
              <w:rPr>
                <w:rFonts w:hint="eastAsia" w:ascii="宋体" w:hAnsi="宋体" w:cs="宋体"/>
                <w:color w:val="auto"/>
                <w:sz w:val="21"/>
                <w:szCs w:val="21"/>
                <w:highlight w:val="none"/>
              </w:rPr>
              <w:t>评标价的偏差率计算公式</w:t>
            </w:r>
          </w:p>
        </w:tc>
        <w:tc>
          <w:tcPr>
            <w:tcW w:w="7250" w:type="dxa"/>
            <w:vAlign w:val="center"/>
          </w:tcPr>
          <w:p>
            <w:pPr>
              <w:snapToGrid w:val="0"/>
              <w:spacing w:line="280" w:lineRule="exact"/>
              <w:ind w:left="113" w:right="113"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此处不适用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280" w:lineRule="exact"/>
              <w:ind w:right="113"/>
              <w:jc w:val="center"/>
              <w:rPr>
                <w:rFonts w:ascii="宋体" w:hAnsi="宋体" w:cs="宋体"/>
                <w:color w:val="auto"/>
                <w:sz w:val="21"/>
                <w:szCs w:val="21"/>
                <w:highlight w:val="none"/>
              </w:rPr>
            </w:pPr>
            <w:r>
              <w:rPr>
                <w:rFonts w:hint="eastAsia" w:ascii="宋体" w:hAnsi="宋体" w:cs="宋体"/>
                <w:color w:val="auto"/>
                <w:sz w:val="21"/>
                <w:szCs w:val="21"/>
                <w:highlight w:val="none"/>
              </w:rPr>
              <w:t>3.6.1</w:t>
            </w:r>
          </w:p>
        </w:tc>
        <w:tc>
          <w:tcPr>
            <w:tcW w:w="1052" w:type="dxa"/>
            <w:vAlign w:val="center"/>
          </w:tcPr>
          <w:p>
            <w:pPr>
              <w:snapToGrid w:val="0"/>
              <w:spacing w:line="280" w:lineRule="exact"/>
              <w:ind w:left="-42" w:leftChars="-15" w:right="-77"/>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投标文件相关信息核查</w:t>
            </w:r>
          </w:p>
        </w:tc>
        <w:tc>
          <w:tcPr>
            <w:tcW w:w="7250" w:type="dxa"/>
            <w:vAlign w:val="center"/>
          </w:tcPr>
          <w:p>
            <w:pPr>
              <w:adjustRightInd w:val="0"/>
              <w:snapToGrid w:val="0"/>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pPr>
              <w:snapToGrid w:val="0"/>
              <w:spacing w:line="2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评标委员会评标时对投标人的信用情况在“国家企业信用信息公示系统（http://www.gsxt.gov.cn/)”进行查询，若投标人存在被列入“严重违法失信名单”情形的（不含分公司）（事业单位不适用），评标委员会应否决其投标。</w:t>
            </w:r>
          </w:p>
          <w:p>
            <w:pPr>
              <w:snapToGrid w:val="0"/>
              <w:spacing w:line="2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2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如投标人未提供相关网页截图或所附截图内容与网站查询结果不一致，评标委员会应否决其投标。</w:t>
            </w:r>
          </w:p>
          <w:p>
            <w:pPr>
              <w:snapToGrid w:val="0"/>
              <w:spacing w:line="2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vAlign w:val="center"/>
          </w:tcPr>
          <w:p>
            <w:pPr>
              <w:snapToGrid w:val="0"/>
              <w:spacing w:line="280" w:lineRule="exact"/>
              <w:ind w:right="113"/>
              <w:jc w:val="center"/>
              <w:rPr>
                <w:rFonts w:ascii="宋体" w:hAnsi="宋体" w:cs="宋体"/>
                <w:color w:val="auto"/>
                <w:sz w:val="21"/>
                <w:szCs w:val="21"/>
                <w:highlight w:val="none"/>
              </w:rPr>
            </w:pPr>
          </w:p>
        </w:tc>
        <w:tc>
          <w:tcPr>
            <w:tcW w:w="1052" w:type="dxa"/>
            <w:vAlign w:val="center"/>
          </w:tcPr>
          <w:p>
            <w:pPr>
              <w:snapToGrid w:val="0"/>
              <w:spacing w:line="280" w:lineRule="exact"/>
              <w:ind w:left="-42" w:leftChars="-15" w:right="-77"/>
              <w:jc w:val="center"/>
              <w:rPr>
                <w:rFonts w:ascii="宋体" w:hAnsi="宋体" w:cs="宋体"/>
                <w:color w:val="auto"/>
                <w:sz w:val="21"/>
                <w:szCs w:val="21"/>
                <w:highlight w:val="none"/>
              </w:rPr>
            </w:pPr>
          </w:p>
        </w:tc>
        <w:tc>
          <w:tcPr>
            <w:tcW w:w="7250" w:type="dxa"/>
            <w:vAlign w:val="center"/>
          </w:tcPr>
          <w:p>
            <w:pPr>
              <w:snapToGrid w:val="0"/>
              <w:spacing w:line="280" w:lineRule="exact"/>
              <w:ind w:right="113"/>
              <w:rPr>
                <w:rFonts w:ascii="宋体" w:hAnsi="宋体" w:cs="宋体"/>
                <w:color w:val="auto"/>
                <w:sz w:val="21"/>
                <w:szCs w:val="21"/>
                <w:highlight w:val="none"/>
              </w:rPr>
            </w:pPr>
          </w:p>
        </w:tc>
      </w:tr>
    </w:tbl>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spacing w:before="197" w:beforeLines="50"/>
        <w:jc w:val="left"/>
        <w:rPr>
          <w:rFonts w:ascii="宋体" w:hAnsi="宋体"/>
          <w:color w:val="auto"/>
          <w:sz w:val="24"/>
          <w:highlight w:val="none"/>
        </w:rPr>
      </w:pPr>
    </w:p>
    <w:p>
      <w:pPr>
        <w:pStyle w:val="16"/>
        <w:rPr>
          <w:rFonts w:ascii="宋体" w:hAnsi="宋体"/>
          <w:color w:val="auto"/>
          <w:sz w:val="24"/>
          <w:highlight w:val="none"/>
        </w:rPr>
      </w:pPr>
    </w:p>
    <w:p>
      <w:pPr>
        <w:spacing w:before="197" w:beforeLines="50"/>
        <w:jc w:val="left"/>
        <w:rPr>
          <w:rFonts w:ascii="宋体" w:hAnsi="宋体"/>
          <w:color w:val="auto"/>
          <w:sz w:val="24"/>
          <w:highlight w:val="none"/>
        </w:rPr>
      </w:pPr>
      <w:r>
        <w:rPr>
          <w:rFonts w:hint="eastAsia" w:ascii="宋体" w:hAnsi="宋体"/>
          <w:color w:val="auto"/>
          <w:sz w:val="24"/>
          <w:highlight w:val="none"/>
        </w:rPr>
        <w:t>具体评分标准：</w:t>
      </w:r>
    </w:p>
    <w:tbl>
      <w:tblPr>
        <w:tblStyle w:val="27"/>
        <w:tblW w:w="98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741"/>
        <w:gridCol w:w="739"/>
        <w:gridCol w:w="1019"/>
        <w:gridCol w:w="687"/>
        <w:gridCol w:w="5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blHeader/>
          <w:jc w:val="center"/>
        </w:trPr>
        <w:tc>
          <w:tcPr>
            <w:tcW w:w="4044" w:type="dxa"/>
            <w:gridSpan w:val="5"/>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评分因素与权重分值</w:t>
            </w:r>
          </w:p>
        </w:tc>
        <w:tc>
          <w:tcPr>
            <w:tcW w:w="5849" w:type="dxa"/>
            <w:vMerge w:val="restart"/>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blHeader/>
          <w:jc w:val="center"/>
        </w:trPr>
        <w:tc>
          <w:tcPr>
            <w:tcW w:w="858"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条款号</w:t>
            </w:r>
          </w:p>
        </w:tc>
        <w:tc>
          <w:tcPr>
            <w:tcW w:w="741"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评分因素</w:t>
            </w:r>
          </w:p>
        </w:tc>
        <w:tc>
          <w:tcPr>
            <w:tcW w:w="739" w:type="dxa"/>
            <w:tcBorders>
              <w:tl2br w:val="nil"/>
              <w:tr2bl w:val="nil"/>
            </w:tcBorders>
            <w:vAlign w:val="center"/>
          </w:tcPr>
          <w:p>
            <w:pPr>
              <w:pStyle w:val="14"/>
              <w:snapToGrid w:val="0"/>
              <w:spacing w:line="280" w:lineRule="exact"/>
              <w:ind w:left="-53" w:leftChars="-19" w:right="-42" w:rightChars="-15" w:firstLine="1"/>
              <w:jc w:val="center"/>
              <w:rPr>
                <w:rFonts w:ascii="Times New Roman" w:hAnsi="Times New Roman"/>
                <w:color w:val="auto"/>
                <w:szCs w:val="21"/>
                <w:highlight w:val="none"/>
              </w:rPr>
            </w:pPr>
            <w:r>
              <w:rPr>
                <w:rFonts w:ascii="Times New Roman" w:hAnsi="Times New Roman"/>
                <w:color w:val="auto"/>
                <w:szCs w:val="21"/>
                <w:highlight w:val="none"/>
              </w:rPr>
              <w:t>评分因素 权重分值</w:t>
            </w:r>
          </w:p>
        </w:tc>
        <w:tc>
          <w:tcPr>
            <w:tcW w:w="1019"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Style w:val="50"/>
                <w:rFonts w:ascii="Times New Roman" w:hAnsi="Times New Roman"/>
                <w:color w:val="auto"/>
                <w:highlight w:val="none"/>
              </w:rPr>
              <w:t>各评分因素细分项</w:t>
            </w:r>
          </w:p>
        </w:tc>
        <w:tc>
          <w:tcPr>
            <w:tcW w:w="687"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分值</w:t>
            </w:r>
          </w:p>
        </w:tc>
        <w:tc>
          <w:tcPr>
            <w:tcW w:w="584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58" w:type="dxa"/>
            <w:vMerge w:val="restart"/>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2.2.4（1）</w:t>
            </w:r>
          </w:p>
        </w:tc>
        <w:tc>
          <w:tcPr>
            <w:tcW w:w="741" w:type="dxa"/>
            <w:vMerge w:val="restart"/>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技术建议书</w:t>
            </w:r>
          </w:p>
        </w:tc>
        <w:tc>
          <w:tcPr>
            <w:tcW w:w="739" w:type="dxa"/>
            <w:vMerge w:val="restart"/>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40分</w:t>
            </w: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对项目的理解</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对项目范围和任务理解基本准确，部分考虑了持续性发展要求，得6分；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对项目范围和任务理解较准确，较充分考虑了持续性发展要求，得6-8分；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对项目范围和任务理解准确，充分考虑了持续性发展要求，得8-10分；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项目特点及关键性技术问题对策措施</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项目特点、难点、重点针对性一般，技术建议基本可行，得3分；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项目特点、难点、重点针对性较强，技术建议较为有效可行，得3-4分；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项目特点、难点、重点针对性强，技术建议有效可行，得</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检测方法和评价方法</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检测方法和评价分析方法基本适合本项目，得6分；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检测方法和评价分析方法较为适合本项目，得6-8分；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检测方法和评价分析方法适合本项目，得8-10分；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项目组织机构及主要人员安排</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项目组织机构及主要人员安排基本明确、合理，得3分；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项目组织机构及主要人员安排较为明确、完善、合理，得3-4分；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项目组织机构及主要人员安排明确、完善、合理，得4-5分。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工作进度计划</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工作内容、工作方案及工作进度计划基本明确、合理，得3分；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工作内容、工作方案及工作进度计划较为明确、完善、合理，得3-4分；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left"/>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工作内容、工作方案及工作进度计划明确、完善、合理，得4-5分。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858"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项目的质量安全保证体系</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质量安全保证体系基本完善、合理，得3分；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质量安全保证体系较为完善、合理，得3-4分；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质量安全保证体系完善、合理，得4-5分。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jc w:val="center"/>
        </w:trPr>
        <w:tc>
          <w:tcPr>
            <w:tcW w:w="858"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2.2.4（2）</w:t>
            </w:r>
          </w:p>
        </w:tc>
        <w:tc>
          <w:tcPr>
            <w:tcW w:w="741"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履约信誉</w:t>
            </w:r>
          </w:p>
        </w:tc>
        <w:tc>
          <w:tcPr>
            <w:tcW w:w="739"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r>
              <w:rPr>
                <w:rFonts w:hint="eastAsia" w:ascii="Times New Roman" w:hAnsi="Times New Roman"/>
                <w:color w:val="auto"/>
                <w:szCs w:val="21"/>
                <w:highlight w:val="none"/>
              </w:rPr>
              <w:t>分</w:t>
            </w:r>
          </w:p>
        </w:tc>
        <w:tc>
          <w:tcPr>
            <w:tcW w:w="1019" w:type="dxa"/>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信用</w:t>
            </w:r>
          </w:p>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评价</w:t>
            </w:r>
          </w:p>
        </w:tc>
        <w:tc>
          <w:tcPr>
            <w:tcW w:w="687" w:type="dxa"/>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pStyle w:val="14"/>
              <w:snapToGrid w:val="0"/>
              <w:spacing w:line="28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满足资格审查条件附录</w:t>
            </w:r>
            <w:r>
              <w:rPr>
                <w:rFonts w:ascii="Times New Roman" w:hAnsi="Times New Roman"/>
                <w:color w:val="auto"/>
                <w:szCs w:val="21"/>
                <w:highlight w:val="none"/>
              </w:rPr>
              <w:t>3</w:t>
            </w:r>
            <w:r>
              <w:rPr>
                <w:rFonts w:hint="eastAsia" w:ascii="Times New Roman" w:hAnsi="Times New Roman"/>
                <w:color w:val="auto"/>
                <w:szCs w:val="21"/>
                <w:highlight w:val="none"/>
              </w:rPr>
              <w:t>信誉最低要求要求的，得</w:t>
            </w:r>
            <w:r>
              <w:rPr>
                <w:rFonts w:ascii="Times New Roman" w:hAnsi="Times New Roman"/>
                <w:color w:val="auto"/>
                <w:szCs w:val="21"/>
                <w:highlight w:val="none"/>
              </w:rPr>
              <w:t>5</w:t>
            </w:r>
            <w:r>
              <w:rPr>
                <w:rFonts w:hint="eastAsia" w:ascii="Times New Roman" w:hAnsi="Times New Roman"/>
                <w:color w:val="auto"/>
                <w:szCs w:val="21"/>
                <w:highlight w:val="none"/>
              </w:rPr>
              <w:t>分，本项满分</w:t>
            </w:r>
            <w:r>
              <w:rPr>
                <w:rFonts w:ascii="Times New Roman" w:hAnsi="Times New Roman"/>
                <w:color w:val="auto"/>
                <w:szCs w:val="21"/>
                <w:highlight w:val="none"/>
              </w:rPr>
              <w:t>5</w:t>
            </w:r>
            <w:r>
              <w:rPr>
                <w:rFonts w:hint="eastAsia" w:ascii="Times New Roman" w:hAnsi="Times New Roman"/>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58" w:type="dxa"/>
            <w:vMerge w:val="restart"/>
            <w:tcBorders>
              <w:tl2br w:val="nil"/>
              <w:tr2bl w:val="nil"/>
            </w:tcBorders>
            <w:vAlign w:val="center"/>
          </w:tcPr>
          <w:p>
            <w:pPr>
              <w:pStyle w:val="14"/>
              <w:spacing w:line="280" w:lineRule="exact"/>
              <w:rPr>
                <w:rFonts w:ascii="Times New Roman" w:hAnsi="Times New Roman"/>
                <w:color w:val="auto"/>
                <w:szCs w:val="21"/>
                <w:highlight w:val="none"/>
              </w:rPr>
            </w:pPr>
            <w:r>
              <w:rPr>
                <w:rFonts w:ascii="Times New Roman" w:hAnsi="Times New Roman"/>
                <w:color w:val="auto"/>
                <w:szCs w:val="21"/>
                <w:highlight w:val="none"/>
              </w:rPr>
              <w:t>2.2.4（</w:t>
            </w:r>
            <w:r>
              <w:rPr>
                <w:rFonts w:hint="eastAsia" w:ascii="Times New Roman" w:hAnsi="Times New Roman"/>
                <w:color w:val="auto"/>
                <w:szCs w:val="21"/>
                <w:highlight w:val="none"/>
              </w:rPr>
              <w:t>3</w:t>
            </w:r>
            <w:r>
              <w:rPr>
                <w:rFonts w:ascii="Times New Roman" w:hAnsi="Times New Roman"/>
                <w:color w:val="auto"/>
                <w:szCs w:val="21"/>
                <w:highlight w:val="none"/>
              </w:rPr>
              <w:t>）</w:t>
            </w:r>
          </w:p>
        </w:tc>
        <w:tc>
          <w:tcPr>
            <w:tcW w:w="741" w:type="dxa"/>
            <w:vMerge w:val="restart"/>
            <w:tcBorders>
              <w:tl2br w:val="nil"/>
              <w:tr2bl w:val="nil"/>
            </w:tcBorders>
            <w:vAlign w:val="center"/>
          </w:tcPr>
          <w:p>
            <w:pPr>
              <w:pStyle w:val="14"/>
              <w:spacing w:line="280" w:lineRule="exact"/>
              <w:rPr>
                <w:rFonts w:ascii="Times New Roman" w:hAnsi="Times New Roman"/>
                <w:color w:val="auto"/>
                <w:szCs w:val="21"/>
                <w:highlight w:val="none"/>
              </w:rPr>
            </w:pPr>
            <w:r>
              <w:rPr>
                <w:rFonts w:ascii="Times New Roman" w:hAnsi="Times New Roman"/>
                <w:color w:val="auto"/>
                <w:szCs w:val="21"/>
                <w:highlight w:val="none"/>
              </w:rPr>
              <w:t>主要人员</w:t>
            </w:r>
          </w:p>
        </w:tc>
        <w:tc>
          <w:tcPr>
            <w:tcW w:w="739" w:type="dxa"/>
            <w:vMerge w:val="restart"/>
            <w:tcBorders>
              <w:tl2br w:val="nil"/>
              <w:tr2bl w:val="nil"/>
            </w:tcBorders>
            <w:vAlign w:val="center"/>
          </w:tcPr>
          <w:p>
            <w:pPr>
              <w:pStyle w:val="14"/>
              <w:spacing w:line="28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0</w:t>
            </w:r>
            <w:r>
              <w:rPr>
                <w:rFonts w:ascii="Times New Roman" w:hAnsi="Times New Roman"/>
                <w:color w:val="auto"/>
                <w:szCs w:val="21"/>
                <w:highlight w:val="none"/>
              </w:rPr>
              <w:t>分</w:t>
            </w: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项目负责人</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满足资格审查条件附录4项目负责人要求的，得</w:t>
            </w:r>
            <w:r>
              <w:rPr>
                <w:rFonts w:ascii="Times New Roman" w:hAnsi="Times New Roman"/>
                <w:color w:val="auto"/>
                <w:sz w:val="21"/>
                <w:szCs w:val="21"/>
                <w:highlight w:val="none"/>
              </w:rPr>
              <w:t>6</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每增加一项担任交通运输部年度国家干线公路网技术状况监测项目-路况检测的项目负责人，得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highlight w:val="none"/>
              </w:rPr>
              <w:t>路面方向技术负责人</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满足资格审查条件附录4技术负责人要求的，得</w:t>
            </w:r>
            <w:r>
              <w:rPr>
                <w:rFonts w:ascii="Times New Roman" w:hAnsi="Times New Roman"/>
                <w:color w:val="auto"/>
                <w:sz w:val="21"/>
                <w:szCs w:val="21"/>
                <w:highlight w:val="none"/>
              </w:rPr>
              <w:t>3</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每增加一项近三年（2019年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月1日，已签订合同日期为准）省级及以上高速公路路况检评分析项目的技术负责人业绩的，得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highlight w:val="none"/>
              </w:rPr>
              <w:t>桥隧方向技术负责人</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满足资格审查条件附录4技术负责人要求的，得</w:t>
            </w:r>
            <w:r>
              <w:rPr>
                <w:rFonts w:ascii="Times New Roman" w:hAnsi="Times New Roman"/>
                <w:color w:val="auto"/>
                <w:sz w:val="21"/>
                <w:szCs w:val="21"/>
                <w:highlight w:val="none"/>
              </w:rPr>
              <w:t>3</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每增加一项近三年（2019年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月1日，已签订合同日期为准）高速公路桥梁或隧道检测项目的技术负责人业绩的，得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58" w:type="dxa"/>
            <w:vMerge w:val="restart"/>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2.2.4（4）</w:t>
            </w:r>
          </w:p>
        </w:tc>
        <w:tc>
          <w:tcPr>
            <w:tcW w:w="741" w:type="dxa"/>
            <w:vMerge w:val="restart"/>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业绩</w:t>
            </w:r>
          </w:p>
        </w:tc>
        <w:tc>
          <w:tcPr>
            <w:tcW w:w="739" w:type="dxa"/>
            <w:vMerge w:val="restart"/>
            <w:vAlign w:val="center"/>
          </w:tcPr>
          <w:p>
            <w:pPr>
              <w:pStyle w:val="14"/>
              <w:snapToGrid w:val="0"/>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20</w:t>
            </w:r>
            <w:r>
              <w:rPr>
                <w:rFonts w:ascii="Times New Roman" w:hAnsi="Times New Roman"/>
                <w:color w:val="auto"/>
                <w:szCs w:val="21"/>
                <w:highlight w:val="none"/>
              </w:rPr>
              <w:t>分</w:t>
            </w:r>
          </w:p>
        </w:tc>
        <w:tc>
          <w:tcPr>
            <w:tcW w:w="1019" w:type="dxa"/>
            <w:vMerge w:val="restart"/>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路面</w:t>
            </w:r>
          </w:p>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方向</w:t>
            </w:r>
          </w:p>
        </w:tc>
        <w:tc>
          <w:tcPr>
            <w:tcW w:w="687" w:type="dxa"/>
            <w:vMerge w:val="restart"/>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12</w:t>
            </w: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承担路况检测单位，满足附录2资格审查条件（业绩最低要求）中路况检测业绩要求的，得7分，本项满分7分。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858"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vAlign w:val="center"/>
          </w:tcPr>
          <w:p>
            <w:pPr>
              <w:pStyle w:val="14"/>
              <w:spacing w:line="280" w:lineRule="exact"/>
              <w:jc w:val="center"/>
              <w:rPr>
                <w:rFonts w:ascii="Times New Roman" w:hAnsi="Times New Roman"/>
                <w:color w:val="auto"/>
                <w:szCs w:val="21"/>
                <w:highlight w:val="none"/>
              </w:rPr>
            </w:pPr>
          </w:p>
        </w:tc>
        <w:tc>
          <w:tcPr>
            <w:tcW w:w="687" w:type="dxa"/>
            <w:vMerge w:val="continue"/>
            <w:vAlign w:val="center"/>
          </w:tcPr>
          <w:p>
            <w:pPr>
              <w:pStyle w:val="14"/>
              <w:spacing w:line="280" w:lineRule="exact"/>
              <w:jc w:val="center"/>
              <w:rPr>
                <w:rFonts w:ascii="Times New Roman" w:hAnsi="Times New Roman"/>
                <w:color w:val="auto"/>
                <w:szCs w:val="21"/>
                <w:highlight w:val="none"/>
              </w:rPr>
            </w:pP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承担路况检测单位，近三年（</w:t>
            </w:r>
            <w:r>
              <w:rPr>
                <w:rFonts w:ascii="Times New Roman" w:hAnsi="Times New Roman"/>
                <w:color w:val="auto"/>
                <w:sz w:val="21"/>
                <w:szCs w:val="21"/>
                <w:highlight w:val="none"/>
              </w:rPr>
              <w:t>2019</w:t>
            </w:r>
            <w:r>
              <w:rPr>
                <w:rFonts w:hint="eastAsia" w:ascii="Times New Roman" w:hAnsi="Times New Roman"/>
                <w:color w:val="auto"/>
                <w:sz w:val="21"/>
                <w:szCs w:val="21"/>
                <w:highlight w:val="none"/>
              </w:rPr>
              <w:t>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日，已签订合同日期为准）每增加一项高速公路路况检测业绩的，得0.5分，本项满分1分。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858"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vAlign w:val="center"/>
          </w:tcPr>
          <w:p>
            <w:pPr>
              <w:pStyle w:val="14"/>
              <w:spacing w:line="280" w:lineRule="exact"/>
              <w:jc w:val="center"/>
              <w:rPr>
                <w:rFonts w:ascii="Times New Roman" w:hAnsi="Times New Roman"/>
                <w:color w:val="auto"/>
                <w:szCs w:val="21"/>
                <w:highlight w:val="none"/>
              </w:rPr>
            </w:pPr>
          </w:p>
        </w:tc>
        <w:tc>
          <w:tcPr>
            <w:tcW w:w="687" w:type="dxa"/>
            <w:vMerge w:val="continue"/>
            <w:vAlign w:val="center"/>
          </w:tcPr>
          <w:p>
            <w:pPr>
              <w:pStyle w:val="14"/>
              <w:spacing w:line="280" w:lineRule="exact"/>
              <w:jc w:val="center"/>
              <w:rPr>
                <w:rFonts w:ascii="Times New Roman" w:hAnsi="Times New Roman"/>
                <w:color w:val="auto"/>
                <w:szCs w:val="21"/>
                <w:highlight w:val="none"/>
              </w:rPr>
            </w:pP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承担路况检测单位，近三年（</w:t>
            </w:r>
            <w:r>
              <w:rPr>
                <w:rFonts w:ascii="Times New Roman" w:hAnsi="Times New Roman"/>
                <w:color w:val="auto"/>
                <w:sz w:val="21"/>
                <w:szCs w:val="21"/>
                <w:highlight w:val="none"/>
              </w:rPr>
              <w:t>2019</w:t>
            </w:r>
            <w:r>
              <w:rPr>
                <w:rFonts w:hint="eastAsia" w:ascii="Times New Roman" w:hAnsi="Times New Roman"/>
                <w:color w:val="auto"/>
                <w:sz w:val="21"/>
                <w:szCs w:val="21"/>
                <w:highlight w:val="none"/>
              </w:rPr>
              <w:t>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日，已签订合同日期为准）每增加一项规模不低于</w:t>
            </w:r>
            <w:r>
              <w:rPr>
                <w:rFonts w:ascii="Times New Roman" w:hAnsi="Times New Roman"/>
                <w:color w:val="auto"/>
                <w:sz w:val="21"/>
                <w:szCs w:val="21"/>
                <w:highlight w:val="none"/>
              </w:rPr>
              <w:t>10000</w:t>
            </w:r>
            <w:r>
              <w:rPr>
                <w:rFonts w:hint="eastAsia" w:ascii="Times New Roman" w:hAnsi="Times New Roman"/>
                <w:color w:val="auto"/>
                <w:sz w:val="21"/>
                <w:szCs w:val="21"/>
                <w:highlight w:val="none"/>
              </w:rPr>
              <w:t>车道公里高速公路路况数据处理、评定及养护分析项目业绩的，得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858"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restart"/>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桥隧</w:t>
            </w:r>
          </w:p>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方向</w:t>
            </w:r>
          </w:p>
        </w:tc>
        <w:tc>
          <w:tcPr>
            <w:tcW w:w="687" w:type="dxa"/>
            <w:vMerge w:val="restart"/>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8</w:t>
            </w: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承担桥隧检测单位，满足附录2资格审查条件（业绩最低要求）中桥梁与隧道检测项目业绩要求的，得5分，本项满分5分。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858"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vAlign w:val="center"/>
          </w:tcPr>
          <w:p>
            <w:pPr>
              <w:pStyle w:val="14"/>
              <w:spacing w:line="280" w:lineRule="exact"/>
              <w:jc w:val="center"/>
              <w:rPr>
                <w:rFonts w:ascii="Times New Roman" w:hAnsi="Times New Roman"/>
                <w:color w:val="auto"/>
                <w:szCs w:val="21"/>
                <w:highlight w:val="none"/>
              </w:rPr>
            </w:pPr>
          </w:p>
        </w:tc>
        <w:tc>
          <w:tcPr>
            <w:tcW w:w="687" w:type="dxa"/>
            <w:vMerge w:val="continue"/>
            <w:vAlign w:val="center"/>
          </w:tcPr>
          <w:p>
            <w:pPr>
              <w:pStyle w:val="14"/>
              <w:spacing w:line="280" w:lineRule="exact"/>
              <w:jc w:val="center"/>
              <w:rPr>
                <w:rFonts w:ascii="Times New Roman" w:hAnsi="Times New Roman"/>
                <w:color w:val="auto"/>
                <w:szCs w:val="21"/>
                <w:highlight w:val="none"/>
              </w:rPr>
            </w:pP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承担桥隧检测单位,在满足资格审查条件的基础上，近三年（2019年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日，已签订合同日期为准）高速公路特大桥梁检测项目累计检测长度每增加5000延米，得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858"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vAlign w:val="center"/>
          </w:tcPr>
          <w:p>
            <w:pPr>
              <w:pStyle w:val="14"/>
              <w:spacing w:line="280" w:lineRule="exact"/>
              <w:jc w:val="center"/>
              <w:rPr>
                <w:rFonts w:ascii="Times New Roman" w:hAnsi="Times New Roman"/>
                <w:color w:val="auto"/>
                <w:szCs w:val="21"/>
                <w:highlight w:val="none"/>
              </w:rPr>
            </w:pPr>
          </w:p>
        </w:tc>
        <w:tc>
          <w:tcPr>
            <w:tcW w:w="687" w:type="dxa"/>
            <w:vMerge w:val="continue"/>
            <w:vAlign w:val="center"/>
          </w:tcPr>
          <w:p>
            <w:pPr>
              <w:pStyle w:val="14"/>
              <w:spacing w:line="280" w:lineRule="exact"/>
              <w:jc w:val="center"/>
              <w:rPr>
                <w:rFonts w:ascii="Times New Roman" w:hAnsi="Times New Roman"/>
                <w:color w:val="auto"/>
                <w:szCs w:val="21"/>
                <w:highlight w:val="none"/>
              </w:rPr>
            </w:pPr>
          </w:p>
        </w:tc>
        <w:tc>
          <w:tcPr>
            <w:tcW w:w="5849" w:type="dxa"/>
            <w:vAlign w:val="center"/>
          </w:tcPr>
          <w:p>
            <w:pPr>
              <w:spacing w:line="32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承担桥隧检测单位,在满足资格审查条件的基础上，近三年（2019年</w:t>
            </w:r>
            <w:r>
              <w:rPr>
                <w:rFonts w:ascii="Times New Roman" w:hAnsi="Times New Roman"/>
                <w:color w:val="auto"/>
                <w:sz w:val="21"/>
                <w:szCs w:val="21"/>
                <w:highlight w:val="none"/>
              </w:rPr>
              <w:t>9</w:t>
            </w:r>
            <w:r>
              <w:rPr>
                <w:rFonts w:hint="eastAsia" w:ascii="Times New Roman" w:hAnsi="Times New Roman"/>
                <w:color w:val="auto"/>
                <w:sz w:val="21"/>
                <w:szCs w:val="21"/>
                <w:highlight w:val="none"/>
              </w:rPr>
              <w:t>月</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日，已签订合同日期为准）每增加1座高速公路特长隧道检测业绩的，得0.5分，本项满分1分。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restart"/>
            <w:tcBorders>
              <w:tl2br w:val="nil"/>
              <w:tr2bl w:val="nil"/>
            </w:tcBorders>
            <w:vAlign w:val="center"/>
          </w:tcPr>
          <w:p>
            <w:pPr>
              <w:pStyle w:val="14"/>
              <w:snapToGrid w:val="0"/>
              <w:spacing w:line="280" w:lineRule="exact"/>
              <w:rPr>
                <w:rFonts w:ascii="Times New Roman" w:hAnsi="Times New Roman"/>
                <w:color w:val="auto"/>
                <w:szCs w:val="21"/>
                <w:highlight w:val="none"/>
              </w:rPr>
            </w:pPr>
            <w:r>
              <w:rPr>
                <w:rFonts w:ascii="Times New Roman" w:hAnsi="Times New Roman"/>
                <w:color w:val="auto"/>
                <w:szCs w:val="21"/>
                <w:highlight w:val="none"/>
              </w:rPr>
              <w:t>2.2.4（5）</w:t>
            </w:r>
          </w:p>
        </w:tc>
        <w:tc>
          <w:tcPr>
            <w:tcW w:w="741"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技术能力</w:t>
            </w:r>
          </w:p>
        </w:tc>
        <w:tc>
          <w:tcPr>
            <w:tcW w:w="73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技术实力</w:t>
            </w:r>
            <w:r>
              <w:rPr>
                <w:rFonts w:ascii="Times New Roman" w:hAnsi="Times New Roman"/>
                <w:color w:val="auto"/>
                <w:szCs w:val="21"/>
                <w:highlight w:val="none"/>
              </w:rPr>
              <w:t>5</w:t>
            </w:r>
            <w:r>
              <w:rPr>
                <w:rFonts w:hint="eastAsia" w:ascii="Times New Roman" w:hAnsi="Times New Roman"/>
                <w:color w:val="auto"/>
                <w:szCs w:val="21"/>
                <w:highlight w:val="none"/>
              </w:rPr>
              <w:t>分</w:t>
            </w: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路面</w:t>
            </w:r>
          </w:p>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方向</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5849" w:type="dxa"/>
            <w:tcBorders>
              <w:tl2br w:val="nil"/>
              <w:tr2bl w:val="nil"/>
            </w:tcBorders>
            <w:vAlign w:val="center"/>
          </w:tcPr>
          <w:p>
            <w:pPr>
              <w:spacing w:line="28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承担路况检测单位，参与过</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个与本项目相关的（含路况检测、评定、养护）国家标准或交通运输部标准规范编制，得</w:t>
            </w:r>
            <w:r>
              <w:rPr>
                <w:rFonts w:ascii="Times New Roman" w:hAnsi="Times New Roman"/>
                <w:color w:val="auto"/>
                <w:sz w:val="21"/>
                <w:szCs w:val="21"/>
                <w:highlight w:val="none"/>
              </w:rPr>
              <w:t>0.5</w:t>
            </w:r>
            <w:r>
              <w:rPr>
                <w:rFonts w:hint="eastAsia" w:ascii="Times New Roman" w:hAnsi="Times New Roman"/>
                <w:color w:val="auto"/>
                <w:sz w:val="21"/>
                <w:szCs w:val="21"/>
                <w:highlight w:val="none"/>
              </w:rPr>
              <w:t>分，每增加1项上述各类标准规范编制得0.</w:t>
            </w:r>
            <w:r>
              <w:rPr>
                <w:rFonts w:ascii="Times New Roman" w:hAnsi="Times New Roman"/>
                <w:color w:val="auto"/>
                <w:sz w:val="21"/>
                <w:szCs w:val="21"/>
                <w:highlight w:val="none"/>
              </w:rPr>
              <w:t>25</w:t>
            </w:r>
            <w:r>
              <w:rPr>
                <w:rFonts w:hint="eastAsia" w:ascii="Times New Roman" w:hAnsi="Times New Roman"/>
                <w:color w:val="auto"/>
                <w:sz w:val="21"/>
                <w:szCs w:val="21"/>
                <w:highlight w:val="none"/>
              </w:rPr>
              <w:t>分，最高得</w:t>
            </w:r>
            <w:r>
              <w:rPr>
                <w:rFonts w:ascii="Times New Roman" w:hAnsi="Times New Roman"/>
                <w:color w:val="auto"/>
                <w:sz w:val="21"/>
                <w:szCs w:val="21"/>
                <w:highlight w:val="none"/>
              </w:rPr>
              <w:t>0.5</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spacing w:line="28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路况检测单位，具有用于实时路况数据快速采集的系统软件；具有用于路面破损识别、平整度与车辙数据处理的系统软件；具有用于公路路面技术状况评定的系统软件；具有用于数据管理和养护决策分析的路面管理系统，每有1项加</w:t>
            </w:r>
            <w:r>
              <w:rPr>
                <w:rFonts w:ascii="Times New Roman" w:hAnsi="Times New Roman"/>
                <w:color w:val="auto"/>
                <w:sz w:val="21"/>
                <w:szCs w:val="21"/>
                <w:highlight w:val="none"/>
              </w:rPr>
              <w:t>0.5</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桥隧</w:t>
            </w:r>
          </w:p>
          <w:p>
            <w:pPr>
              <w:pStyle w:val="14"/>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方向</w:t>
            </w:r>
          </w:p>
        </w:tc>
        <w:tc>
          <w:tcPr>
            <w:tcW w:w="687" w:type="dxa"/>
            <w:vMerge w:val="restart"/>
            <w:tcBorders>
              <w:tl2br w:val="nil"/>
              <w:tr2bl w:val="nil"/>
            </w:tcBorders>
            <w:vAlign w:val="center"/>
          </w:tcPr>
          <w:p>
            <w:pPr>
              <w:pStyle w:val="14"/>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5849" w:type="dxa"/>
            <w:tcBorders>
              <w:tl2br w:val="nil"/>
              <w:tr2bl w:val="nil"/>
            </w:tcBorders>
            <w:vAlign w:val="center"/>
          </w:tcPr>
          <w:p>
            <w:pPr>
              <w:spacing w:line="28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承担桥隧检测单位，参与过与本项目相关的（含桥梁或隧道检测、评定、养护）国家标准或交通运输部标准规范编制，得</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分，本项满分1分。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8"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41"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739" w:type="dxa"/>
            <w:vMerge w:val="continue"/>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p>
        </w:tc>
        <w:tc>
          <w:tcPr>
            <w:tcW w:w="1019"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687" w:type="dxa"/>
            <w:vMerge w:val="continue"/>
            <w:tcBorders>
              <w:tl2br w:val="nil"/>
              <w:tr2bl w:val="nil"/>
            </w:tcBorders>
            <w:vAlign w:val="center"/>
          </w:tcPr>
          <w:p>
            <w:pPr>
              <w:pStyle w:val="14"/>
              <w:spacing w:line="280" w:lineRule="exact"/>
              <w:jc w:val="center"/>
              <w:rPr>
                <w:rFonts w:ascii="Times New Roman" w:hAnsi="Times New Roman"/>
                <w:color w:val="auto"/>
                <w:szCs w:val="21"/>
                <w:highlight w:val="none"/>
              </w:rPr>
            </w:pPr>
          </w:p>
        </w:tc>
        <w:tc>
          <w:tcPr>
            <w:tcW w:w="5849" w:type="dxa"/>
            <w:tcBorders>
              <w:tl2br w:val="nil"/>
              <w:tr2bl w:val="nil"/>
            </w:tcBorders>
            <w:vAlign w:val="center"/>
          </w:tcPr>
          <w:p>
            <w:pPr>
              <w:spacing w:line="28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承担桥隧检测单位，具有用于桥梁技术状况的系统软件；具有用于桥梁数据管理和养护分析的桥梁管理系统；每有1项得</w:t>
            </w:r>
            <w:r>
              <w:rPr>
                <w:rFonts w:ascii="Times New Roman" w:hAnsi="Times New Roman"/>
                <w:color w:val="auto"/>
                <w:sz w:val="21"/>
                <w:szCs w:val="21"/>
                <w:highlight w:val="none"/>
              </w:rPr>
              <w:t>0.5</w:t>
            </w:r>
            <w:r>
              <w:rPr>
                <w:rFonts w:hint="eastAsia" w:ascii="Times New Roman" w:hAnsi="Times New Roman"/>
                <w:color w:val="auto"/>
                <w:sz w:val="21"/>
                <w:szCs w:val="21"/>
                <w:highlight w:val="none"/>
              </w:rPr>
              <w:t>分，本项满分</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858"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2.2.4（6）</w:t>
            </w:r>
          </w:p>
        </w:tc>
        <w:tc>
          <w:tcPr>
            <w:tcW w:w="741"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评标价</w:t>
            </w:r>
          </w:p>
        </w:tc>
        <w:tc>
          <w:tcPr>
            <w:tcW w:w="739" w:type="dxa"/>
            <w:tcBorders>
              <w:tl2br w:val="nil"/>
              <w:tr2bl w:val="nil"/>
            </w:tcBorders>
            <w:vAlign w:val="center"/>
          </w:tcPr>
          <w:p>
            <w:pPr>
              <w:pStyle w:val="14"/>
              <w:snapToGrid w:val="0"/>
              <w:spacing w:line="280" w:lineRule="exact"/>
              <w:jc w:val="center"/>
              <w:rPr>
                <w:rFonts w:ascii="Times New Roman" w:hAnsi="Times New Roman"/>
                <w:color w:val="auto"/>
                <w:szCs w:val="21"/>
                <w:highlight w:val="none"/>
              </w:rPr>
            </w:pPr>
            <w:r>
              <w:rPr>
                <w:rFonts w:ascii="Times New Roman" w:hAnsi="Times New Roman"/>
                <w:color w:val="auto"/>
                <w:szCs w:val="21"/>
                <w:highlight w:val="none"/>
              </w:rPr>
              <w:t>10分</w:t>
            </w:r>
          </w:p>
        </w:tc>
        <w:tc>
          <w:tcPr>
            <w:tcW w:w="7555" w:type="dxa"/>
            <w:gridSpan w:val="3"/>
            <w:tcBorders>
              <w:tl2br w:val="nil"/>
              <w:tr2bl w:val="nil"/>
            </w:tcBorders>
            <w:vAlign w:val="center"/>
          </w:tcPr>
          <w:p>
            <w:pPr>
              <w:snapToGrid w:val="0"/>
              <w:spacing w:line="28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评标价得分计算公式示例：</w:t>
            </w:r>
          </w:p>
          <w:p>
            <w:pPr>
              <w:snapToGrid w:val="0"/>
              <w:spacing w:line="28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（1）如果投标人的评标价＞评标基准价，则评标价得分=F-（投标人评标价-评标基准价）/评标基准价×100×E1；</w:t>
            </w:r>
          </w:p>
          <w:p>
            <w:pPr>
              <w:snapToGrid w:val="0"/>
              <w:spacing w:line="28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（2）如果投标人的评标价≤评标基准价，则评标价得分=F+(投标人评标价-评标基准价)/评标基准价×100×E2。</w:t>
            </w:r>
          </w:p>
          <w:p>
            <w:pPr>
              <w:snapToGrid w:val="0"/>
              <w:spacing w:line="28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其中，F=</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0；E1=0.2；E2=0.1；评标价最低得分为0分。</w:t>
            </w:r>
          </w:p>
          <w:p>
            <w:pPr>
              <w:snapToGrid w:val="0"/>
              <w:spacing w:line="280" w:lineRule="exact"/>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评标价得分保留两位小数，第三位四舍五入。</w:t>
            </w:r>
          </w:p>
        </w:tc>
      </w:tr>
    </w:tbl>
    <w:p>
      <w:pPr>
        <w:adjustRightInd w:val="0"/>
        <w:snapToGrid w:val="0"/>
        <w:ind w:firstLine="367" w:firstLineChars="175"/>
        <w:jc w:val="left"/>
        <w:rPr>
          <w:rFonts w:ascii="宋体" w:hAnsi="宋体"/>
          <w:color w:val="auto"/>
          <w:kern w:val="2"/>
          <w:sz w:val="21"/>
          <w:szCs w:val="21"/>
          <w:highlight w:val="none"/>
        </w:rPr>
      </w:pPr>
    </w:p>
    <w:p>
      <w:pPr>
        <w:adjustRightInd w:val="0"/>
        <w:snapToGrid w:val="0"/>
        <w:ind w:firstLine="367" w:firstLineChars="175"/>
        <w:jc w:val="left"/>
        <w:rPr>
          <w:rFonts w:ascii="宋体" w:hAnsi="宋体"/>
          <w:color w:val="auto"/>
          <w:kern w:val="2"/>
          <w:sz w:val="21"/>
          <w:szCs w:val="21"/>
          <w:highlight w:val="none"/>
        </w:rPr>
      </w:pPr>
      <w:r>
        <w:rPr>
          <w:rFonts w:ascii="宋体" w:hAnsi="宋体"/>
          <w:color w:val="auto"/>
          <w:kern w:val="2"/>
          <w:sz w:val="21"/>
          <w:szCs w:val="21"/>
          <w:highlight w:val="none"/>
        </w:rPr>
        <w:t>注</w:t>
      </w:r>
      <w:r>
        <w:rPr>
          <w:rFonts w:hint="eastAsia" w:ascii="宋体" w:hAnsi="宋体"/>
          <w:color w:val="auto"/>
          <w:kern w:val="2"/>
          <w:sz w:val="21"/>
          <w:szCs w:val="21"/>
          <w:highlight w:val="none"/>
        </w:rPr>
        <w:t>：1、评标委员会评审因素得分应以评标委员会各成员的打分平均值确定（平均值保留小数点后两位，小数点后第三位四舍五入）。</w:t>
      </w:r>
    </w:p>
    <w:p>
      <w:pPr>
        <w:pStyle w:val="14"/>
        <w:numPr>
          <w:ilvl w:val="0"/>
          <w:numId w:val="1"/>
        </w:numPr>
        <w:snapToGrid w:val="0"/>
        <w:ind w:firstLine="840" w:firstLineChars="400"/>
        <w:rPr>
          <w:rFonts w:hAnsi="宋体"/>
          <w:color w:val="auto"/>
          <w:szCs w:val="21"/>
          <w:highlight w:val="none"/>
        </w:rPr>
      </w:pPr>
      <w:r>
        <w:rPr>
          <w:rFonts w:hint="eastAsia" w:hAnsi="宋体"/>
          <w:color w:val="auto"/>
          <w:szCs w:val="21"/>
          <w:highlight w:val="none"/>
        </w:rPr>
        <w:t>技术建议书评审项缺项则该项得0分。</w:t>
      </w:r>
      <w:bookmarkStart w:id="15" w:name="_Toc289866012"/>
      <w:bookmarkStart w:id="16" w:name="_Toc287283255"/>
      <w:bookmarkStart w:id="17" w:name="_Toc289864812"/>
      <w:bookmarkStart w:id="18" w:name="_Toc289864624"/>
      <w:r>
        <w:rPr>
          <w:rFonts w:hAnsi="宋体"/>
          <w:color w:val="auto"/>
          <w:szCs w:val="21"/>
          <w:highlight w:val="none"/>
        </w:rPr>
        <w:br w:type="page"/>
      </w:r>
    </w:p>
    <w:p>
      <w:pPr>
        <w:pStyle w:val="4"/>
        <w:spacing w:before="120" w:after="120"/>
        <w:rPr>
          <w:rFonts w:ascii="宋体" w:hAnsi="宋体"/>
          <w:b w:val="0"/>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 xml:space="preserve">3 </w:t>
      </w:r>
      <w:r>
        <w:rPr>
          <w:rFonts w:hint="eastAsia" w:ascii="宋体" w:hAnsi="宋体"/>
          <w:color w:val="auto"/>
          <w:sz w:val="24"/>
          <w:szCs w:val="24"/>
          <w:highlight w:val="none"/>
        </w:rPr>
        <w:t>招标范围及主要内容</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1、完成河北高速集团所辖高速公路网路况检测（包括路面平整度、路面破损、路面车辙、路面跳车、路面磨耗、前方图像和GPS信息等），并按照《公路技术状况评定标准》（JTG 5210-2018）及路面管理系统（CPMS）的要求，进行数据处理、路况评定及养护对策分析，在此基础上编制路面技术状况数据评定及养护对策分析报告（养护对策分析报告编制要求附后），提交科学的养护对策建议，制定中长期养护规划及年度养护计划，同时按指定格式提交电子数据。</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2、完成河北高速集团所辖高速公路路基及沿线附属设施技术状况检测评定，根据《公路技术状况评定标准》（JTG 5210-2018）规定，对沿线路基存在的路肩损坏、边坡坍塌、水毁冲沟、路基构造物损坏、路缘石缺损、路基沉降和排水不畅等7类损坏类型进行实地调查并对技术状况进行评定；对沿线交通安全设施开展专项现场检测，并完成相应内容的检测及分析评定。</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完成河北高速集团所辖高速公路网全部桥梁的定期检测及技术状况评定，编制桥梁检测评定分析报告。桥梁定期检测报告包含但不限于桥梁基本情况、桥梁技术状况分析、典型病害及成因分析、养护需求分析及费用估算、年度养护计划建议等。</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完成河北高速集团所辖高速公路网全部隧道的土建结构定期检测及技术状况评定，编制隧道检测评定分析报告。报告包含但不限于基本情况、隧道技术状况分析、典型病害及成因分析、养护需求分析及费用估算、年度养护计划建议等。在其他单位完成隧道机电检测报告后，应利用隧道土建结构检测并结合隧道机电检测结果完成隧道技术状况评价工作。</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按规定编写检测评定报告。具体规定如下：总报告包含：集团公司路网检测评定总报告、各分公司路网检测评定总报告（分公司下辖多个路段时，还应编写具体路段检测评定总报告）。分项报告包含：各分公司路基路面分项报告；各分公司桥梁分项报告、各分公司隧道土建结构分项报告。分公司下辖多个路段时，还应编写具体路段分项报告。</w:t>
      </w:r>
    </w:p>
    <w:p>
      <w:pPr>
        <w:pStyle w:val="26"/>
        <w:autoSpaceDE w:val="0"/>
        <w:autoSpaceDN w:val="0"/>
        <w:snapToGrid w:val="0"/>
        <w:spacing w:after="0" w:line="360" w:lineRule="auto"/>
        <w:ind w:left="0" w:leftChars="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养护对策分析报告编制要求。独立中标人或中标联合体牵头单位应按以下规定编写路面技术状况数据管理及养护对策分析报告：集团公司路网路面技术状况数据管理及养护对策分析报告、各分公司路面技术状况数据管理及养护对策分析报告（分公司下辖多个路段时，还应编写各路段路面技术状况数据管理及养护对策分析报告）</w:t>
      </w:r>
    </w:p>
    <w:p>
      <w:pPr>
        <w:pStyle w:val="14"/>
        <w:snapToGrid w:val="0"/>
        <w:spacing w:line="360" w:lineRule="auto"/>
        <w:rPr>
          <w:rFonts w:asciiTheme="minorEastAsia" w:hAnsiTheme="minorEastAsia" w:eastAsiaTheme="minorEastAsia" w:cstheme="minorEastAsia"/>
          <w:color w:val="auto"/>
          <w:sz w:val="24"/>
          <w:szCs w:val="24"/>
          <w:highlight w:val="none"/>
        </w:rPr>
      </w:pPr>
    </w:p>
    <w:bookmarkEnd w:id="14"/>
    <w:bookmarkEnd w:id="15"/>
    <w:bookmarkEnd w:id="16"/>
    <w:bookmarkEnd w:id="17"/>
    <w:bookmarkEnd w:id="18"/>
    <w:p>
      <w:pPr>
        <w:pStyle w:val="16"/>
        <w:rPr>
          <w:color w:val="auto"/>
          <w:highlight w:val="none"/>
        </w:rPr>
      </w:pPr>
    </w:p>
    <w:sectPr>
      <w:headerReference r:id="rId3" w:type="default"/>
      <w:footerReference r:id="rId4" w:type="default"/>
      <w:pgSz w:w="11906" w:h="16838"/>
      <w:pgMar w:top="1417" w:right="1417" w:bottom="1417" w:left="1417" w:header="851" w:footer="737" w:gutter="0"/>
      <w:cols w:space="0" w:num="1"/>
      <w:docGrid w:type="lines" w:linePitch="39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844" w:y="147"/>
      <w:rPr>
        <w:rStyle w:val="30"/>
        <w:rFonts w:ascii="Times New Roman" w:hAnsi="Times New Roman"/>
      </w:rPr>
    </w:pPr>
    <w:r>
      <w:rPr>
        <w:rFonts w:ascii="Times New Roman" w:hAnsi="Times New Roman"/>
      </w:rPr>
      <w:fldChar w:fldCharType="begin"/>
    </w:r>
    <w:r>
      <w:rPr>
        <w:rStyle w:val="30"/>
        <w:rFonts w:ascii="Times New Roman" w:hAnsi="Times New Roman"/>
      </w:rPr>
      <w:instrText xml:space="preserve">PAGE  </w:instrText>
    </w:r>
    <w:r>
      <w:rPr>
        <w:rFonts w:ascii="Times New Roman" w:hAnsi="Times New Roman"/>
      </w:rPr>
      <w:fldChar w:fldCharType="separate"/>
    </w:r>
    <w:r>
      <w:rPr>
        <w:rStyle w:val="30"/>
        <w:rFonts w:ascii="Times New Roman" w:hAnsi="Times New Roman"/>
      </w:rPr>
      <w:t>69</w:t>
    </w:r>
    <w:r>
      <w:rPr>
        <w:rFonts w:ascii="Times New Roman" w:hAnsi="Times New Roma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38563"/>
    <w:multiLevelType w:val="singleLevel"/>
    <w:tmpl w:val="230385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40"/>
  <w:drawingGridVerticalSpacing w:val="19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346791"/>
    <w:rsid w:val="0000438D"/>
    <w:rsid w:val="00007012"/>
    <w:rsid w:val="00023C02"/>
    <w:rsid w:val="0003322A"/>
    <w:rsid w:val="0004532A"/>
    <w:rsid w:val="0005755D"/>
    <w:rsid w:val="0006736E"/>
    <w:rsid w:val="000734B7"/>
    <w:rsid w:val="00075775"/>
    <w:rsid w:val="000952D7"/>
    <w:rsid w:val="00097282"/>
    <w:rsid w:val="000F5DC4"/>
    <w:rsid w:val="001072EB"/>
    <w:rsid w:val="0011602D"/>
    <w:rsid w:val="0011704E"/>
    <w:rsid w:val="00117783"/>
    <w:rsid w:val="00122E50"/>
    <w:rsid w:val="00124E46"/>
    <w:rsid w:val="0012586F"/>
    <w:rsid w:val="00130EF3"/>
    <w:rsid w:val="00141EFE"/>
    <w:rsid w:val="00146717"/>
    <w:rsid w:val="001669D4"/>
    <w:rsid w:val="00174263"/>
    <w:rsid w:val="0017593A"/>
    <w:rsid w:val="0018263E"/>
    <w:rsid w:val="001952B3"/>
    <w:rsid w:val="001A3A8F"/>
    <w:rsid w:val="001C22BD"/>
    <w:rsid w:val="001E401B"/>
    <w:rsid w:val="00211313"/>
    <w:rsid w:val="002178AF"/>
    <w:rsid w:val="002532E8"/>
    <w:rsid w:val="00261B55"/>
    <w:rsid w:val="00264A08"/>
    <w:rsid w:val="00283199"/>
    <w:rsid w:val="0028458D"/>
    <w:rsid w:val="00290762"/>
    <w:rsid w:val="002A7B79"/>
    <w:rsid w:val="002B1FF9"/>
    <w:rsid w:val="002B338A"/>
    <w:rsid w:val="002B6718"/>
    <w:rsid w:val="002C27C1"/>
    <w:rsid w:val="002E42F5"/>
    <w:rsid w:val="002F3B6A"/>
    <w:rsid w:val="002F4633"/>
    <w:rsid w:val="0033194A"/>
    <w:rsid w:val="003337A9"/>
    <w:rsid w:val="003369D7"/>
    <w:rsid w:val="0034585D"/>
    <w:rsid w:val="00346791"/>
    <w:rsid w:val="00346AC6"/>
    <w:rsid w:val="00364CEA"/>
    <w:rsid w:val="0038370D"/>
    <w:rsid w:val="00392FDB"/>
    <w:rsid w:val="003C638D"/>
    <w:rsid w:val="003D2892"/>
    <w:rsid w:val="0040750A"/>
    <w:rsid w:val="00423C13"/>
    <w:rsid w:val="00443967"/>
    <w:rsid w:val="00445747"/>
    <w:rsid w:val="0045347D"/>
    <w:rsid w:val="00462021"/>
    <w:rsid w:val="00466BFA"/>
    <w:rsid w:val="00470952"/>
    <w:rsid w:val="00491753"/>
    <w:rsid w:val="00493AE1"/>
    <w:rsid w:val="004942F7"/>
    <w:rsid w:val="004A6353"/>
    <w:rsid w:val="004A7BD6"/>
    <w:rsid w:val="004B2419"/>
    <w:rsid w:val="004B33A7"/>
    <w:rsid w:val="004B5E49"/>
    <w:rsid w:val="004D07AF"/>
    <w:rsid w:val="004D0D99"/>
    <w:rsid w:val="004D3B06"/>
    <w:rsid w:val="004E5DEF"/>
    <w:rsid w:val="004F6605"/>
    <w:rsid w:val="00506CC4"/>
    <w:rsid w:val="005468C3"/>
    <w:rsid w:val="00546E88"/>
    <w:rsid w:val="00560BF0"/>
    <w:rsid w:val="005713E1"/>
    <w:rsid w:val="00577CF1"/>
    <w:rsid w:val="00597FF0"/>
    <w:rsid w:val="005A4213"/>
    <w:rsid w:val="005B306B"/>
    <w:rsid w:val="005B3FA5"/>
    <w:rsid w:val="005B5B03"/>
    <w:rsid w:val="005C4D1D"/>
    <w:rsid w:val="005C7F51"/>
    <w:rsid w:val="005D14D6"/>
    <w:rsid w:val="005D2DE6"/>
    <w:rsid w:val="005F0408"/>
    <w:rsid w:val="005F2EDD"/>
    <w:rsid w:val="006066E7"/>
    <w:rsid w:val="006136A7"/>
    <w:rsid w:val="00615CDD"/>
    <w:rsid w:val="006405DA"/>
    <w:rsid w:val="006471E8"/>
    <w:rsid w:val="006502F4"/>
    <w:rsid w:val="006525F8"/>
    <w:rsid w:val="0066032F"/>
    <w:rsid w:val="006643A9"/>
    <w:rsid w:val="006672FB"/>
    <w:rsid w:val="0067032A"/>
    <w:rsid w:val="00675A14"/>
    <w:rsid w:val="006A0460"/>
    <w:rsid w:val="006A1B6F"/>
    <w:rsid w:val="006A45BC"/>
    <w:rsid w:val="006B04D6"/>
    <w:rsid w:val="006C1F6B"/>
    <w:rsid w:val="006C20A1"/>
    <w:rsid w:val="006F3FEC"/>
    <w:rsid w:val="006F4D51"/>
    <w:rsid w:val="00703D10"/>
    <w:rsid w:val="00705691"/>
    <w:rsid w:val="007133E4"/>
    <w:rsid w:val="00741C6D"/>
    <w:rsid w:val="00747180"/>
    <w:rsid w:val="0075087F"/>
    <w:rsid w:val="00753F17"/>
    <w:rsid w:val="00784090"/>
    <w:rsid w:val="00786DE0"/>
    <w:rsid w:val="00796E5A"/>
    <w:rsid w:val="007A526F"/>
    <w:rsid w:val="007B6049"/>
    <w:rsid w:val="007C004E"/>
    <w:rsid w:val="007C6D64"/>
    <w:rsid w:val="007E73EA"/>
    <w:rsid w:val="007F18B9"/>
    <w:rsid w:val="00806D8F"/>
    <w:rsid w:val="00811BDD"/>
    <w:rsid w:val="00831DBF"/>
    <w:rsid w:val="00831FE1"/>
    <w:rsid w:val="00847739"/>
    <w:rsid w:val="008500CF"/>
    <w:rsid w:val="008525AB"/>
    <w:rsid w:val="00866F1A"/>
    <w:rsid w:val="0088070A"/>
    <w:rsid w:val="008906DE"/>
    <w:rsid w:val="008A0546"/>
    <w:rsid w:val="008A6ECB"/>
    <w:rsid w:val="008B09B5"/>
    <w:rsid w:val="008B59BB"/>
    <w:rsid w:val="008C01D4"/>
    <w:rsid w:val="008D6E97"/>
    <w:rsid w:val="008E1685"/>
    <w:rsid w:val="008F0A76"/>
    <w:rsid w:val="008F0DF6"/>
    <w:rsid w:val="00900D8F"/>
    <w:rsid w:val="009037DA"/>
    <w:rsid w:val="00906FD9"/>
    <w:rsid w:val="009141E0"/>
    <w:rsid w:val="0092322C"/>
    <w:rsid w:val="009430CD"/>
    <w:rsid w:val="0094566A"/>
    <w:rsid w:val="009529BF"/>
    <w:rsid w:val="00965683"/>
    <w:rsid w:val="00975160"/>
    <w:rsid w:val="00977AA3"/>
    <w:rsid w:val="00981574"/>
    <w:rsid w:val="00994CD4"/>
    <w:rsid w:val="009969C5"/>
    <w:rsid w:val="009A5468"/>
    <w:rsid w:val="009B1FE4"/>
    <w:rsid w:val="009C2750"/>
    <w:rsid w:val="009C3355"/>
    <w:rsid w:val="009D5835"/>
    <w:rsid w:val="009D5A36"/>
    <w:rsid w:val="009E072E"/>
    <w:rsid w:val="009E4545"/>
    <w:rsid w:val="00A0058C"/>
    <w:rsid w:val="00A219D1"/>
    <w:rsid w:val="00A3229B"/>
    <w:rsid w:val="00A347FA"/>
    <w:rsid w:val="00A433B4"/>
    <w:rsid w:val="00A44888"/>
    <w:rsid w:val="00A45596"/>
    <w:rsid w:val="00A5737A"/>
    <w:rsid w:val="00A62080"/>
    <w:rsid w:val="00A6769F"/>
    <w:rsid w:val="00A70E3F"/>
    <w:rsid w:val="00A7318C"/>
    <w:rsid w:val="00A76CFE"/>
    <w:rsid w:val="00A84564"/>
    <w:rsid w:val="00A936ED"/>
    <w:rsid w:val="00A945FF"/>
    <w:rsid w:val="00A95137"/>
    <w:rsid w:val="00AA3A53"/>
    <w:rsid w:val="00AB0CC0"/>
    <w:rsid w:val="00AC000A"/>
    <w:rsid w:val="00AC598E"/>
    <w:rsid w:val="00AC64CE"/>
    <w:rsid w:val="00AD288C"/>
    <w:rsid w:val="00AD79AE"/>
    <w:rsid w:val="00AD7EBF"/>
    <w:rsid w:val="00AF18DD"/>
    <w:rsid w:val="00B01405"/>
    <w:rsid w:val="00B040D2"/>
    <w:rsid w:val="00B114A9"/>
    <w:rsid w:val="00B1555C"/>
    <w:rsid w:val="00B15CA7"/>
    <w:rsid w:val="00B2168E"/>
    <w:rsid w:val="00B24C81"/>
    <w:rsid w:val="00B27278"/>
    <w:rsid w:val="00B446AE"/>
    <w:rsid w:val="00B627E4"/>
    <w:rsid w:val="00B64354"/>
    <w:rsid w:val="00B64552"/>
    <w:rsid w:val="00B70EC5"/>
    <w:rsid w:val="00B72C20"/>
    <w:rsid w:val="00B7407E"/>
    <w:rsid w:val="00B75AE6"/>
    <w:rsid w:val="00B76F02"/>
    <w:rsid w:val="00B835C3"/>
    <w:rsid w:val="00B87236"/>
    <w:rsid w:val="00B878B1"/>
    <w:rsid w:val="00B9308D"/>
    <w:rsid w:val="00BA2284"/>
    <w:rsid w:val="00BA7803"/>
    <w:rsid w:val="00BB7ECD"/>
    <w:rsid w:val="00BC5209"/>
    <w:rsid w:val="00BC7C1C"/>
    <w:rsid w:val="00BD3954"/>
    <w:rsid w:val="00BD58A6"/>
    <w:rsid w:val="00C118FE"/>
    <w:rsid w:val="00C11EB7"/>
    <w:rsid w:val="00C12AF7"/>
    <w:rsid w:val="00C2780D"/>
    <w:rsid w:val="00C325A9"/>
    <w:rsid w:val="00C34F51"/>
    <w:rsid w:val="00C3574D"/>
    <w:rsid w:val="00C3727A"/>
    <w:rsid w:val="00C415F4"/>
    <w:rsid w:val="00C4202F"/>
    <w:rsid w:val="00C465AB"/>
    <w:rsid w:val="00C57CA0"/>
    <w:rsid w:val="00C61585"/>
    <w:rsid w:val="00C77BC8"/>
    <w:rsid w:val="00C81393"/>
    <w:rsid w:val="00C8404C"/>
    <w:rsid w:val="00C85496"/>
    <w:rsid w:val="00CA39E4"/>
    <w:rsid w:val="00CB2439"/>
    <w:rsid w:val="00CB5A10"/>
    <w:rsid w:val="00CD55CD"/>
    <w:rsid w:val="00CE28A8"/>
    <w:rsid w:val="00D16116"/>
    <w:rsid w:val="00D33E76"/>
    <w:rsid w:val="00D40FAC"/>
    <w:rsid w:val="00D53A94"/>
    <w:rsid w:val="00D53D71"/>
    <w:rsid w:val="00D551A2"/>
    <w:rsid w:val="00D553F6"/>
    <w:rsid w:val="00D56152"/>
    <w:rsid w:val="00D568C7"/>
    <w:rsid w:val="00D624B5"/>
    <w:rsid w:val="00D62556"/>
    <w:rsid w:val="00D67B26"/>
    <w:rsid w:val="00D72E72"/>
    <w:rsid w:val="00D72E91"/>
    <w:rsid w:val="00D7506E"/>
    <w:rsid w:val="00D841DF"/>
    <w:rsid w:val="00D86068"/>
    <w:rsid w:val="00D90239"/>
    <w:rsid w:val="00DA7B9D"/>
    <w:rsid w:val="00DB17CC"/>
    <w:rsid w:val="00DB199D"/>
    <w:rsid w:val="00DB2114"/>
    <w:rsid w:val="00DC07AC"/>
    <w:rsid w:val="00DC16C1"/>
    <w:rsid w:val="00DC3116"/>
    <w:rsid w:val="00DD4B9B"/>
    <w:rsid w:val="00DD67C3"/>
    <w:rsid w:val="00DF52E0"/>
    <w:rsid w:val="00E013F3"/>
    <w:rsid w:val="00E070E6"/>
    <w:rsid w:val="00E1136B"/>
    <w:rsid w:val="00E15EA1"/>
    <w:rsid w:val="00E243CE"/>
    <w:rsid w:val="00E30804"/>
    <w:rsid w:val="00E34992"/>
    <w:rsid w:val="00E36A53"/>
    <w:rsid w:val="00E5208F"/>
    <w:rsid w:val="00E57096"/>
    <w:rsid w:val="00E77959"/>
    <w:rsid w:val="00E827C3"/>
    <w:rsid w:val="00E84295"/>
    <w:rsid w:val="00E85401"/>
    <w:rsid w:val="00EA427A"/>
    <w:rsid w:val="00EA497B"/>
    <w:rsid w:val="00EB1695"/>
    <w:rsid w:val="00EC782E"/>
    <w:rsid w:val="00EE447E"/>
    <w:rsid w:val="00EF2AED"/>
    <w:rsid w:val="00EF7085"/>
    <w:rsid w:val="00F22F9D"/>
    <w:rsid w:val="00F2504D"/>
    <w:rsid w:val="00F32735"/>
    <w:rsid w:val="00F355D4"/>
    <w:rsid w:val="00F64B80"/>
    <w:rsid w:val="00F70370"/>
    <w:rsid w:val="00F76823"/>
    <w:rsid w:val="00F85F15"/>
    <w:rsid w:val="00F87CC6"/>
    <w:rsid w:val="00FA2DA3"/>
    <w:rsid w:val="00FC3831"/>
    <w:rsid w:val="00FD4D19"/>
    <w:rsid w:val="00FE675A"/>
    <w:rsid w:val="00FF005D"/>
    <w:rsid w:val="00FF05AF"/>
    <w:rsid w:val="00FF1848"/>
    <w:rsid w:val="012D66CB"/>
    <w:rsid w:val="012F1E0A"/>
    <w:rsid w:val="014D5BD9"/>
    <w:rsid w:val="014F03EF"/>
    <w:rsid w:val="016C6A52"/>
    <w:rsid w:val="017460A8"/>
    <w:rsid w:val="017C6D0A"/>
    <w:rsid w:val="01AE44C7"/>
    <w:rsid w:val="01D211F8"/>
    <w:rsid w:val="01DB6127"/>
    <w:rsid w:val="01DF5C17"/>
    <w:rsid w:val="01E935D0"/>
    <w:rsid w:val="0204567E"/>
    <w:rsid w:val="02337D11"/>
    <w:rsid w:val="023B0973"/>
    <w:rsid w:val="023B6BC5"/>
    <w:rsid w:val="02475ADA"/>
    <w:rsid w:val="0258222F"/>
    <w:rsid w:val="0293255D"/>
    <w:rsid w:val="02E82FA5"/>
    <w:rsid w:val="03360505"/>
    <w:rsid w:val="035E700F"/>
    <w:rsid w:val="03D27449"/>
    <w:rsid w:val="04137DFA"/>
    <w:rsid w:val="04584C49"/>
    <w:rsid w:val="04B52C5F"/>
    <w:rsid w:val="04BD1688"/>
    <w:rsid w:val="04C74740"/>
    <w:rsid w:val="04DB6A08"/>
    <w:rsid w:val="04F400C6"/>
    <w:rsid w:val="05065269"/>
    <w:rsid w:val="050F6813"/>
    <w:rsid w:val="05653AC0"/>
    <w:rsid w:val="05726DA2"/>
    <w:rsid w:val="05900FD6"/>
    <w:rsid w:val="0590249A"/>
    <w:rsid w:val="05B54D72"/>
    <w:rsid w:val="05D67331"/>
    <w:rsid w:val="05ED1BAF"/>
    <w:rsid w:val="06475B39"/>
    <w:rsid w:val="065B3392"/>
    <w:rsid w:val="069152CF"/>
    <w:rsid w:val="06A87133"/>
    <w:rsid w:val="06B72B32"/>
    <w:rsid w:val="06C322B6"/>
    <w:rsid w:val="06C632EC"/>
    <w:rsid w:val="0745635C"/>
    <w:rsid w:val="074A1461"/>
    <w:rsid w:val="07904C67"/>
    <w:rsid w:val="07B5324C"/>
    <w:rsid w:val="07CD4764"/>
    <w:rsid w:val="082C5E03"/>
    <w:rsid w:val="08A21E2F"/>
    <w:rsid w:val="08B66FA6"/>
    <w:rsid w:val="08BE0BFF"/>
    <w:rsid w:val="08F8136C"/>
    <w:rsid w:val="08F94A41"/>
    <w:rsid w:val="091C32AD"/>
    <w:rsid w:val="09502F56"/>
    <w:rsid w:val="09585107"/>
    <w:rsid w:val="095A29C5"/>
    <w:rsid w:val="096563F3"/>
    <w:rsid w:val="096A04BC"/>
    <w:rsid w:val="097370B2"/>
    <w:rsid w:val="09781F00"/>
    <w:rsid w:val="097D012F"/>
    <w:rsid w:val="09E71B0D"/>
    <w:rsid w:val="09F022E6"/>
    <w:rsid w:val="0A1309FE"/>
    <w:rsid w:val="0A264224"/>
    <w:rsid w:val="0A426D43"/>
    <w:rsid w:val="0A7809B7"/>
    <w:rsid w:val="0A7F7F97"/>
    <w:rsid w:val="0A9706FF"/>
    <w:rsid w:val="0AD8682D"/>
    <w:rsid w:val="0B424B21"/>
    <w:rsid w:val="0B4F1696"/>
    <w:rsid w:val="0B7A250D"/>
    <w:rsid w:val="0B857609"/>
    <w:rsid w:val="0BA94BA0"/>
    <w:rsid w:val="0C175FAD"/>
    <w:rsid w:val="0C4274CE"/>
    <w:rsid w:val="0CA77331"/>
    <w:rsid w:val="0CC56BDF"/>
    <w:rsid w:val="0CC80BC8"/>
    <w:rsid w:val="0CF62067"/>
    <w:rsid w:val="0D006A41"/>
    <w:rsid w:val="0D5D5C42"/>
    <w:rsid w:val="0D7A67F4"/>
    <w:rsid w:val="0D9553DC"/>
    <w:rsid w:val="0DD203DE"/>
    <w:rsid w:val="0DDD6D83"/>
    <w:rsid w:val="0DE96F59"/>
    <w:rsid w:val="0DFC37BF"/>
    <w:rsid w:val="0DFE7425"/>
    <w:rsid w:val="0E456E02"/>
    <w:rsid w:val="0E567261"/>
    <w:rsid w:val="0E8C2C83"/>
    <w:rsid w:val="0E910299"/>
    <w:rsid w:val="0F114F36"/>
    <w:rsid w:val="0F152C78"/>
    <w:rsid w:val="0F276507"/>
    <w:rsid w:val="0F9067A2"/>
    <w:rsid w:val="0F953DB9"/>
    <w:rsid w:val="0FAC046A"/>
    <w:rsid w:val="0FD27971"/>
    <w:rsid w:val="0FF7237E"/>
    <w:rsid w:val="0FF87EA4"/>
    <w:rsid w:val="0FF974ED"/>
    <w:rsid w:val="104135F9"/>
    <w:rsid w:val="10554E71"/>
    <w:rsid w:val="105F7CB0"/>
    <w:rsid w:val="107D4754"/>
    <w:rsid w:val="10A36062"/>
    <w:rsid w:val="10B63FE7"/>
    <w:rsid w:val="10E05471"/>
    <w:rsid w:val="10FA5EC3"/>
    <w:rsid w:val="111663FE"/>
    <w:rsid w:val="11717F0E"/>
    <w:rsid w:val="125A6F51"/>
    <w:rsid w:val="12767ED2"/>
    <w:rsid w:val="12786E6C"/>
    <w:rsid w:val="127C4DBC"/>
    <w:rsid w:val="128D0A75"/>
    <w:rsid w:val="12C80001"/>
    <w:rsid w:val="12C81DAF"/>
    <w:rsid w:val="12DE4A0B"/>
    <w:rsid w:val="12FA0906"/>
    <w:rsid w:val="137077CB"/>
    <w:rsid w:val="137A38FF"/>
    <w:rsid w:val="138228A6"/>
    <w:rsid w:val="13961BE3"/>
    <w:rsid w:val="13AF2F6F"/>
    <w:rsid w:val="13B44750"/>
    <w:rsid w:val="13C45C78"/>
    <w:rsid w:val="13C96B53"/>
    <w:rsid w:val="13DF5603"/>
    <w:rsid w:val="14065524"/>
    <w:rsid w:val="141F6347"/>
    <w:rsid w:val="14323F5A"/>
    <w:rsid w:val="145558C5"/>
    <w:rsid w:val="146B03C6"/>
    <w:rsid w:val="14706BA3"/>
    <w:rsid w:val="147C5547"/>
    <w:rsid w:val="147D6BCA"/>
    <w:rsid w:val="14956609"/>
    <w:rsid w:val="14B60A59"/>
    <w:rsid w:val="14C447F8"/>
    <w:rsid w:val="14C63062"/>
    <w:rsid w:val="14DC7969"/>
    <w:rsid w:val="153D4CD7"/>
    <w:rsid w:val="15512530"/>
    <w:rsid w:val="155D7127"/>
    <w:rsid w:val="15826B8D"/>
    <w:rsid w:val="15853F88"/>
    <w:rsid w:val="15A2453E"/>
    <w:rsid w:val="15AC59B8"/>
    <w:rsid w:val="15B44660"/>
    <w:rsid w:val="15BB46D9"/>
    <w:rsid w:val="161D2412"/>
    <w:rsid w:val="1629525B"/>
    <w:rsid w:val="162B6872"/>
    <w:rsid w:val="163F4A7E"/>
    <w:rsid w:val="165A5414"/>
    <w:rsid w:val="167069E6"/>
    <w:rsid w:val="16842491"/>
    <w:rsid w:val="16920BDC"/>
    <w:rsid w:val="16BF796D"/>
    <w:rsid w:val="16DF309E"/>
    <w:rsid w:val="16F75359"/>
    <w:rsid w:val="171750B3"/>
    <w:rsid w:val="1726707A"/>
    <w:rsid w:val="17451C21"/>
    <w:rsid w:val="17452FB1"/>
    <w:rsid w:val="17465999"/>
    <w:rsid w:val="176F6C9D"/>
    <w:rsid w:val="17F552A0"/>
    <w:rsid w:val="17F65611"/>
    <w:rsid w:val="17FA1E46"/>
    <w:rsid w:val="18251A52"/>
    <w:rsid w:val="182A0E16"/>
    <w:rsid w:val="182B350C"/>
    <w:rsid w:val="182D3CAA"/>
    <w:rsid w:val="18371EB1"/>
    <w:rsid w:val="18702E37"/>
    <w:rsid w:val="189B3AC2"/>
    <w:rsid w:val="18B21538"/>
    <w:rsid w:val="18DC0363"/>
    <w:rsid w:val="18F356AC"/>
    <w:rsid w:val="18FD7C98"/>
    <w:rsid w:val="19597C05"/>
    <w:rsid w:val="19930790"/>
    <w:rsid w:val="19935CE8"/>
    <w:rsid w:val="19BC239E"/>
    <w:rsid w:val="19C77265"/>
    <w:rsid w:val="19D51D8E"/>
    <w:rsid w:val="19E971DB"/>
    <w:rsid w:val="19F811CC"/>
    <w:rsid w:val="19FB4858"/>
    <w:rsid w:val="1A07140F"/>
    <w:rsid w:val="1A1D50D7"/>
    <w:rsid w:val="1A6F32A5"/>
    <w:rsid w:val="1A756CC1"/>
    <w:rsid w:val="1A9D6217"/>
    <w:rsid w:val="1AAA7F33"/>
    <w:rsid w:val="1B021DFA"/>
    <w:rsid w:val="1B1A1616"/>
    <w:rsid w:val="1B1D5157"/>
    <w:rsid w:val="1B1F09DB"/>
    <w:rsid w:val="1B3338F3"/>
    <w:rsid w:val="1B734446"/>
    <w:rsid w:val="1B9B2757"/>
    <w:rsid w:val="1BA74E3E"/>
    <w:rsid w:val="1BDB0DA5"/>
    <w:rsid w:val="1BEE6D2B"/>
    <w:rsid w:val="1C026332"/>
    <w:rsid w:val="1C0D7579"/>
    <w:rsid w:val="1C224C26"/>
    <w:rsid w:val="1C30068C"/>
    <w:rsid w:val="1C3C0450"/>
    <w:rsid w:val="1C6A4153"/>
    <w:rsid w:val="1CF36CC2"/>
    <w:rsid w:val="1D4C269A"/>
    <w:rsid w:val="1D680452"/>
    <w:rsid w:val="1D682B0D"/>
    <w:rsid w:val="1D834353"/>
    <w:rsid w:val="1DBA2C3C"/>
    <w:rsid w:val="1DD45AAC"/>
    <w:rsid w:val="1DEA1774"/>
    <w:rsid w:val="1E081BFA"/>
    <w:rsid w:val="1E191CA5"/>
    <w:rsid w:val="1E3649B9"/>
    <w:rsid w:val="1E426EBA"/>
    <w:rsid w:val="1E5B61CE"/>
    <w:rsid w:val="1E5C37CA"/>
    <w:rsid w:val="1E74728F"/>
    <w:rsid w:val="1E763007"/>
    <w:rsid w:val="1E85324A"/>
    <w:rsid w:val="1E886E33"/>
    <w:rsid w:val="1EC71AB5"/>
    <w:rsid w:val="1EE95587"/>
    <w:rsid w:val="1F0E1492"/>
    <w:rsid w:val="1F132604"/>
    <w:rsid w:val="1F4C6E93"/>
    <w:rsid w:val="1F883466"/>
    <w:rsid w:val="1F9F32DB"/>
    <w:rsid w:val="1FE10954"/>
    <w:rsid w:val="20491AA3"/>
    <w:rsid w:val="205A1343"/>
    <w:rsid w:val="20630F00"/>
    <w:rsid w:val="20987265"/>
    <w:rsid w:val="20B147CB"/>
    <w:rsid w:val="20C91B14"/>
    <w:rsid w:val="20CD0EE3"/>
    <w:rsid w:val="20CE1A4D"/>
    <w:rsid w:val="20D65FDF"/>
    <w:rsid w:val="20FB77F4"/>
    <w:rsid w:val="20FD356C"/>
    <w:rsid w:val="2108528D"/>
    <w:rsid w:val="21132D8F"/>
    <w:rsid w:val="21134B3E"/>
    <w:rsid w:val="213A13F8"/>
    <w:rsid w:val="214178FD"/>
    <w:rsid w:val="21582DE9"/>
    <w:rsid w:val="21B96212"/>
    <w:rsid w:val="21DE15EF"/>
    <w:rsid w:val="22140517"/>
    <w:rsid w:val="22170671"/>
    <w:rsid w:val="224317F2"/>
    <w:rsid w:val="22462793"/>
    <w:rsid w:val="225278E7"/>
    <w:rsid w:val="2264692B"/>
    <w:rsid w:val="22665141"/>
    <w:rsid w:val="22884A3A"/>
    <w:rsid w:val="228F18C3"/>
    <w:rsid w:val="229B303C"/>
    <w:rsid w:val="22A16179"/>
    <w:rsid w:val="22D738D7"/>
    <w:rsid w:val="22E272F7"/>
    <w:rsid w:val="232B0864"/>
    <w:rsid w:val="23333275"/>
    <w:rsid w:val="233D2346"/>
    <w:rsid w:val="23616034"/>
    <w:rsid w:val="239857CE"/>
    <w:rsid w:val="23C52ACE"/>
    <w:rsid w:val="23CC1A43"/>
    <w:rsid w:val="23DC1B5F"/>
    <w:rsid w:val="23EA427B"/>
    <w:rsid w:val="23F528F2"/>
    <w:rsid w:val="23F724F4"/>
    <w:rsid w:val="24162974"/>
    <w:rsid w:val="243416D7"/>
    <w:rsid w:val="24727DCD"/>
    <w:rsid w:val="247C6455"/>
    <w:rsid w:val="247D50F0"/>
    <w:rsid w:val="24DB1E16"/>
    <w:rsid w:val="24EC4023"/>
    <w:rsid w:val="24F46A34"/>
    <w:rsid w:val="24FE78B3"/>
    <w:rsid w:val="25227A45"/>
    <w:rsid w:val="25956469"/>
    <w:rsid w:val="25A55F80"/>
    <w:rsid w:val="25B878E3"/>
    <w:rsid w:val="25E62821"/>
    <w:rsid w:val="25F207C2"/>
    <w:rsid w:val="25F656AC"/>
    <w:rsid w:val="261A4EE2"/>
    <w:rsid w:val="26282E39"/>
    <w:rsid w:val="26393298"/>
    <w:rsid w:val="268F2EB8"/>
    <w:rsid w:val="26BB1EFF"/>
    <w:rsid w:val="271E5FEA"/>
    <w:rsid w:val="273E043A"/>
    <w:rsid w:val="274138C0"/>
    <w:rsid w:val="274243CE"/>
    <w:rsid w:val="276A25B5"/>
    <w:rsid w:val="276F6846"/>
    <w:rsid w:val="27934C2A"/>
    <w:rsid w:val="279649D3"/>
    <w:rsid w:val="27A209C9"/>
    <w:rsid w:val="27D843EB"/>
    <w:rsid w:val="28093C2E"/>
    <w:rsid w:val="28463027"/>
    <w:rsid w:val="28DE0127"/>
    <w:rsid w:val="28F9286B"/>
    <w:rsid w:val="29037B8D"/>
    <w:rsid w:val="290C53EE"/>
    <w:rsid w:val="290F02E0"/>
    <w:rsid w:val="29183639"/>
    <w:rsid w:val="291F23C7"/>
    <w:rsid w:val="29345F99"/>
    <w:rsid w:val="295D54F0"/>
    <w:rsid w:val="2979008D"/>
    <w:rsid w:val="29A924E3"/>
    <w:rsid w:val="29AA5774"/>
    <w:rsid w:val="29C46D75"/>
    <w:rsid w:val="2A1A6F3D"/>
    <w:rsid w:val="2A3224D8"/>
    <w:rsid w:val="2A855DE7"/>
    <w:rsid w:val="2A8A2314"/>
    <w:rsid w:val="2AA809EC"/>
    <w:rsid w:val="2AAF427B"/>
    <w:rsid w:val="2AD417E1"/>
    <w:rsid w:val="2ADC2444"/>
    <w:rsid w:val="2AE45217"/>
    <w:rsid w:val="2B006133"/>
    <w:rsid w:val="2B14398C"/>
    <w:rsid w:val="2B204A27"/>
    <w:rsid w:val="2B257B9F"/>
    <w:rsid w:val="2B826C7D"/>
    <w:rsid w:val="2B856638"/>
    <w:rsid w:val="2B870602"/>
    <w:rsid w:val="2B97636B"/>
    <w:rsid w:val="2BB4516F"/>
    <w:rsid w:val="2BC730F4"/>
    <w:rsid w:val="2C077995"/>
    <w:rsid w:val="2C194E17"/>
    <w:rsid w:val="2C876181"/>
    <w:rsid w:val="2C970D19"/>
    <w:rsid w:val="2CAB47C4"/>
    <w:rsid w:val="2CAB6485"/>
    <w:rsid w:val="2CCB451E"/>
    <w:rsid w:val="2CEB696E"/>
    <w:rsid w:val="2CF75D91"/>
    <w:rsid w:val="2D0D4B37"/>
    <w:rsid w:val="2D1D0F25"/>
    <w:rsid w:val="2D362736"/>
    <w:rsid w:val="2D406CBA"/>
    <w:rsid w:val="2D5D6432"/>
    <w:rsid w:val="2D6A40CE"/>
    <w:rsid w:val="2D96602E"/>
    <w:rsid w:val="2D9F5341"/>
    <w:rsid w:val="2DB47166"/>
    <w:rsid w:val="2DC225E7"/>
    <w:rsid w:val="2DE375AC"/>
    <w:rsid w:val="2E0A283D"/>
    <w:rsid w:val="2E3031D3"/>
    <w:rsid w:val="2E383E35"/>
    <w:rsid w:val="2E5D389C"/>
    <w:rsid w:val="2E6A7D67"/>
    <w:rsid w:val="2EA90A51"/>
    <w:rsid w:val="2EB5007C"/>
    <w:rsid w:val="2EBD5EEC"/>
    <w:rsid w:val="2ED460D3"/>
    <w:rsid w:val="2F1523C9"/>
    <w:rsid w:val="2F226128"/>
    <w:rsid w:val="2F391C13"/>
    <w:rsid w:val="2F4B7B98"/>
    <w:rsid w:val="2F6D3FB3"/>
    <w:rsid w:val="2F7470EF"/>
    <w:rsid w:val="2F7E5172"/>
    <w:rsid w:val="2FE079BA"/>
    <w:rsid w:val="30006BD5"/>
    <w:rsid w:val="302D27C0"/>
    <w:rsid w:val="30563B76"/>
    <w:rsid w:val="305807BF"/>
    <w:rsid w:val="30731155"/>
    <w:rsid w:val="30CC6AB7"/>
    <w:rsid w:val="30E87D95"/>
    <w:rsid w:val="30EC7F2C"/>
    <w:rsid w:val="317570EC"/>
    <w:rsid w:val="31A17F44"/>
    <w:rsid w:val="31BC6B2B"/>
    <w:rsid w:val="31E24902"/>
    <w:rsid w:val="31EC0D27"/>
    <w:rsid w:val="32075FF9"/>
    <w:rsid w:val="32995D9A"/>
    <w:rsid w:val="32FF4F22"/>
    <w:rsid w:val="330662B0"/>
    <w:rsid w:val="331C3D26"/>
    <w:rsid w:val="333A41AC"/>
    <w:rsid w:val="33416F90"/>
    <w:rsid w:val="335E62EA"/>
    <w:rsid w:val="336254B1"/>
    <w:rsid w:val="33736E28"/>
    <w:rsid w:val="339925AD"/>
    <w:rsid w:val="339E473B"/>
    <w:rsid w:val="33AB6E58"/>
    <w:rsid w:val="33B45D0C"/>
    <w:rsid w:val="33DB015D"/>
    <w:rsid w:val="33DF6B01"/>
    <w:rsid w:val="33F337F9"/>
    <w:rsid w:val="33FE3EB9"/>
    <w:rsid w:val="34030A42"/>
    <w:rsid w:val="34750E92"/>
    <w:rsid w:val="34AF02A4"/>
    <w:rsid w:val="34B306BA"/>
    <w:rsid w:val="350835E1"/>
    <w:rsid w:val="350D35A0"/>
    <w:rsid w:val="35106100"/>
    <w:rsid w:val="35155971"/>
    <w:rsid w:val="351849C1"/>
    <w:rsid w:val="35487054"/>
    <w:rsid w:val="355A3F9A"/>
    <w:rsid w:val="355E6877"/>
    <w:rsid w:val="35633C30"/>
    <w:rsid w:val="35AA386B"/>
    <w:rsid w:val="35BE6AF3"/>
    <w:rsid w:val="35C57A37"/>
    <w:rsid w:val="35C61EF4"/>
    <w:rsid w:val="35D2691D"/>
    <w:rsid w:val="35E11256"/>
    <w:rsid w:val="35FB2783"/>
    <w:rsid w:val="362D488A"/>
    <w:rsid w:val="36372C24"/>
    <w:rsid w:val="36435A6D"/>
    <w:rsid w:val="366F0610"/>
    <w:rsid w:val="36851BE2"/>
    <w:rsid w:val="369B7657"/>
    <w:rsid w:val="36B64491"/>
    <w:rsid w:val="371C0798"/>
    <w:rsid w:val="37256F21"/>
    <w:rsid w:val="37753A04"/>
    <w:rsid w:val="37765DAB"/>
    <w:rsid w:val="377A54BF"/>
    <w:rsid w:val="377E3297"/>
    <w:rsid w:val="377F0D27"/>
    <w:rsid w:val="37BE184F"/>
    <w:rsid w:val="37CD1A92"/>
    <w:rsid w:val="37D72911"/>
    <w:rsid w:val="38722989"/>
    <w:rsid w:val="387E0FDF"/>
    <w:rsid w:val="38843188"/>
    <w:rsid w:val="388616C4"/>
    <w:rsid w:val="388D4D7E"/>
    <w:rsid w:val="38B45FF8"/>
    <w:rsid w:val="38BB5BAB"/>
    <w:rsid w:val="38CC58A6"/>
    <w:rsid w:val="38E17D1A"/>
    <w:rsid w:val="38F65019"/>
    <w:rsid w:val="39273424"/>
    <w:rsid w:val="399F5A3C"/>
    <w:rsid w:val="39AD3929"/>
    <w:rsid w:val="39CE1E5B"/>
    <w:rsid w:val="39D215E2"/>
    <w:rsid w:val="3A4C2693"/>
    <w:rsid w:val="3A7E0E22"/>
    <w:rsid w:val="3A960861"/>
    <w:rsid w:val="3A9C74FA"/>
    <w:rsid w:val="3AA52B97"/>
    <w:rsid w:val="3ABE1B66"/>
    <w:rsid w:val="3AE90B8A"/>
    <w:rsid w:val="3AED5FA8"/>
    <w:rsid w:val="3B0A0908"/>
    <w:rsid w:val="3B1B2B15"/>
    <w:rsid w:val="3B292DB6"/>
    <w:rsid w:val="3B31058A"/>
    <w:rsid w:val="3B3140E6"/>
    <w:rsid w:val="3B3830F7"/>
    <w:rsid w:val="3B391E9E"/>
    <w:rsid w:val="3B6E56E2"/>
    <w:rsid w:val="3B871F58"/>
    <w:rsid w:val="3B8C3A12"/>
    <w:rsid w:val="3B9328B5"/>
    <w:rsid w:val="3BDD7DCA"/>
    <w:rsid w:val="3C030667"/>
    <w:rsid w:val="3C241E9D"/>
    <w:rsid w:val="3C37572C"/>
    <w:rsid w:val="3C3C7E5D"/>
    <w:rsid w:val="3C4B567C"/>
    <w:rsid w:val="3C8B617A"/>
    <w:rsid w:val="3D037D04"/>
    <w:rsid w:val="3D293889"/>
    <w:rsid w:val="3D3B2FFA"/>
    <w:rsid w:val="3D570FF0"/>
    <w:rsid w:val="3D8E3ABC"/>
    <w:rsid w:val="3D9A6B04"/>
    <w:rsid w:val="3DE94712"/>
    <w:rsid w:val="3E0A3254"/>
    <w:rsid w:val="3EB2553E"/>
    <w:rsid w:val="3EBE2135"/>
    <w:rsid w:val="3EEC6CA2"/>
    <w:rsid w:val="3F131EEB"/>
    <w:rsid w:val="3F2E1A93"/>
    <w:rsid w:val="3F3146B5"/>
    <w:rsid w:val="3F3361D3"/>
    <w:rsid w:val="3F5D36FC"/>
    <w:rsid w:val="3F5E1222"/>
    <w:rsid w:val="3F88629F"/>
    <w:rsid w:val="3FF616A5"/>
    <w:rsid w:val="40370A51"/>
    <w:rsid w:val="4057639D"/>
    <w:rsid w:val="4085348C"/>
    <w:rsid w:val="40A4535A"/>
    <w:rsid w:val="40CE5FF8"/>
    <w:rsid w:val="410858E9"/>
    <w:rsid w:val="41354204"/>
    <w:rsid w:val="41436921"/>
    <w:rsid w:val="4168325C"/>
    <w:rsid w:val="4169703C"/>
    <w:rsid w:val="416C231C"/>
    <w:rsid w:val="417D0085"/>
    <w:rsid w:val="41967399"/>
    <w:rsid w:val="41AC44C7"/>
    <w:rsid w:val="421F113C"/>
    <w:rsid w:val="422E312E"/>
    <w:rsid w:val="427B20EB"/>
    <w:rsid w:val="42A653BA"/>
    <w:rsid w:val="42F20DCB"/>
    <w:rsid w:val="42F97BDF"/>
    <w:rsid w:val="43272122"/>
    <w:rsid w:val="43284F92"/>
    <w:rsid w:val="433476AB"/>
    <w:rsid w:val="438E56EA"/>
    <w:rsid w:val="43982EC2"/>
    <w:rsid w:val="43A34B40"/>
    <w:rsid w:val="43AB7A1F"/>
    <w:rsid w:val="43BD03E8"/>
    <w:rsid w:val="43CE2E1A"/>
    <w:rsid w:val="43ED0DC6"/>
    <w:rsid w:val="43F719D1"/>
    <w:rsid w:val="441F5696"/>
    <w:rsid w:val="445242B0"/>
    <w:rsid w:val="4467584B"/>
    <w:rsid w:val="447B7530"/>
    <w:rsid w:val="44823C05"/>
    <w:rsid w:val="44827761"/>
    <w:rsid w:val="44DD0E3B"/>
    <w:rsid w:val="45112376"/>
    <w:rsid w:val="45590BB8"/>
    <w:rsid w:val="4588349D"/>
    <w:rsid w:val="45F36B68"/>
    <w:rsid w:val="463F7FFF"/>
    <w:rsid w:val="46490F0B"/>
    <w:rsid w:val="46600A25"/>
    <w:rsid w:val="46A50A8C"/>
    <w:rsid w:val="46E2098A"/>
    <w:rsid w:val="472B2331"/>
    <w:rsid w:val="473311D8"/>
    <w:rsid w:val="47503B46"/>
    <w:rsid w:val="47655843"/>
    <w:rsid w:val="47920337"/>
    <w:rsid w:val="47AC4BA7"/>
    <w:rsid w:val="47FB1D04"/>
    <w:rsid w:val="47FC782A"/>
    <w:rsid w:val="482C4911"/>
    <w:rsid w:val="48480CC1"/>
    <w:rsid w:val="485B27A2"/>
    <w:rsid w:val="48E75F24"/>
    <w:rsid w:val="490E5A2A"/>
    <w:rsid w:val="49267254"/>
    <w:rsid w:val="4948541D"/>
    <w:rsid w:val="495A6EFE"/>
    <w:rsid w:val="49B303BC"/>
    <w:rsid w:val="49D15412"/>
    <w:rsid w:val="4A1C41B3"/>
    <w:rsid w:val="4A404346"/>
    <w:rsid w:val="4A541B9F"/>
    <w:rsid w:val="4A543B01"/>
    <w:rsid w:val="4A606FC4"/>
    <w:rsid w:val="4A774E4E"/>
    <w:rsid w:val="4A934476"/>
    <w:rsid w:val="4AAB4F26"/>
    <w:rsid w:val="4AAC722B"/>
    <w:rsid w:val="4AEB3B5C"/>
    <w:rsid w:val="4B125CE2"/>
    <w:rsid w:val="4B364130"/>
    <w:rsid w:val="4B386DCB"/>
    <w:rsid w:val="4B3D6AD7"/>
    <w:rsid w:val="4B674448"/>
    <w:rsid w:val="4B7D1083"/>
    <w:rsid w:val="4B887D52"/>
    <w:rsid w:val="4BA6336F"/>
    <w:rsid w:val="4C22115B"/>
    <w:rsid w:val="4C453E95"/>
    <w:rsid w:val="4C9D5A7F"/>
    <w:rsid w:val="4CF60CEC"/>
    <w:rsid w:val="4D086A7E"/>
    <w:rsid w:val="4D110453"/>
    <w:rsid w:val="4D5D6FBD"/>
    <w:rsid w:val="4D603EC2"/>
    <w:rsid w:val="4D6B792C"/>
    <w:rsid w:val="4D6D36A4"/>
    <w:rsid w:val="4D773D94"/>
    <w:rsid w:val="4D7C1024"/>
    <w:rsid w:val="4DAD116D"/>
    <w:rsid w:val="4DC4528E"/>
    <w:rsid w:val="4DE70AF0"/>
    <w:rsid w:val="4DF94F37"/>
    <w:rsid w:val="4E5064FF"/>
    <w:rsid w:val="4E712D20"/>
    <w:rsid w:val="4EC03698"/>
    <w:rsid w:val="4F0E4A13"/>
    <w:rsid w:val="4F564DC6"/>
    <w:rsid w:val="4F7505EE"/>
    <w:rsid w:val="4F860A4D"/>
    <w:rsid w:val="4F893C4B"/>
    <w:rsid w:val="4FF05ECC"/>
    <w:rsid w:val="502F5A21"/>
    <w:rsid w:val="50482F13"/>
    <w:rsid w:val="50483F54"/>
    <w:rsid w:val="50BE6DF7"/>
    <w:rsid w:val="50BF63A3"/>
    <w:rsid w:val="50CC728F"/>
    <w:rsid w:val="51291C1C"/>
    <w:rsid w:val="5133485C"/>
    <w:rsid w:val="513B7A71"/>
    <w:rsid w:val="513D513B"/>
    <w:rsid w:val="513F7105"/>
    <w:rsid w:val="519805C3"/>
    <w:rsid w:val="51B64EEE"/>
    <w:rsid w:val="51E27A91"/>
    <w:rsid w:val="51ED2D53"/>
    <w:rsid w:val="52065E75"/>
    <w:rsid w:val="5209326F"/>
    <w:rsid w:val="521A1920"/>
    <w:rsid w:val="526E0921"/>
    <w:rsid w:val="52854FEC"/>
    <w:rsid w:val="52A53210"/>
    <w:rsid w:val="52C14F7B"/>
    <w:rsid w:val="52E908DA"/>
    <w:rsid w:val="52F7756C"/>
    <w:rsid w:val="5334431C"/>
    <w:rsid w:val="536E275A"/>
    <w:rsid w:val="53B5567B"/>
    <w:rsid w:val="53BF7900"/>
    <w:rsid w:val="53E436C0"/>
    <w:rsid w:val="53EC4BF7"/>
    <w:rsid w:val="54022B2C"/>
    <w:rsid w:val="54B03E76"/>
    <w:rsid w:val="54D51B2F"/>
    <w:rsid w:val="54D758A7"/>
    <w:rsid w:val="54D97871"/>
    <w:rsid w:val="554B7717"/>
    <w:rsid w:val="55733821"/>
    <w:rsid w:val="557F5245"/>
    <w:rsid w:val="55915A56"/>
    <w:rsid w:val="559612BE"/>
    <w:rsid w:val="55EA175E"/>
    <w:rsid w:val="55FC2DB0"/>
    <w:rsid w:val="56067310"/>
    <w:rsid w:val="56075698"/>
    <w:rsid w:val="56075D18"/>
    <w:rsid w:val="5666129C"/>
    <w:rsid w:val="56690780"/>
    <w:rsid w:val="5673243F"/>
    <w:rsid w:val="56903F5F"/>
    <w:rsid w:val="569A3030"/>
    <w:rsid w:val="569E667C"/>
    <w:rsid w:val="56D46542"/>
    <w:rsid w:val="56D55E16"/>
    <w:rsid w:val="56EF512A"/>
    <w:rsid w:val="56F20776"/>
    <w:rsid w:val="570861EB"/>
    <w:rsid w:val="570C5CDB"/>
    <w:rsid w:val="573F208A"/>
    <w:rsid w:val="57462870"/>
    <w:rsid w:val="5756538C"/>
    <w:rsid w:val="575A4DCB"/>
    <w:rsid w:val="576B43AE"/>
    <w:rsid w:val="577D0987"/>
    <w:rsid w:val="578810DA"/>
    <w:rsid w:val="578F06BB"/>
    <w:rsid w:val="5796397D"/>
    <w:rsid w:val="579D2DD8"/>
    <w:rsid w:val="57A23F4A"/>
    <w:rsid w:val="57A31A70"/>
    <w:rsid w:val="57C808AD"/>
    <w:rsid w:val="57DB3900"/>
    <w:rsid w:val="57F347A6"/>
    <w:rsid w:val="57FC6189"/>
    <w:rsid w:val="58160494"/>
    <w:rsid w:val="581C63A1"/>
    <w:rsid w:val="58761A5F"/>
    <w:rsid w:val="58801DB1"/>
    <w:rsid w:val="5890504F"/>
    <w:rsid w:val="58E44932"/>
    <w:rsid w:val="592227B9"/>
    <w:rsid w:val="595B6572"/>
    <w:rsid w:val="59695A41"/>
    <w:rsid w:val="598C4EB2"/>
    <w:rsid w:val="59DE3233"/>
    <w:rsid w:val="59FC1ED4"/>
    <w:rsid w:val="5A1F7AD4"/>
    <w:rsid w:val="5A224803"/>
    <w:rsid w:val="5A3A2B60"/>
    <w:rsid w:val="5A627595"/>
    <w:rsid w:val="5A651A53"/>
    <w:rsid w:val="5A6F20DD"/>
    <w:rsid w:val="5A9A0BC8"/>
    <w:rsid w:val="5ABA15AB"/>
    <w:rsid w:val="5ABD553F"/>
    <w:rsid w:val="5ACD556B"/>
    <w:rsid w:val="5AD22D98"/>
    <w:rsid w:val="5BBC1352"/>
    <w:rsid w:val="5BC52FAA"/>
    <w:rsid w:val="5C904CB9"/>
    <w:rsid w:val="5CB70498"/>
    <w:rsid w:val="5CE46B6D"/>
    <w:rsid w:val="5D0A6410"/>
    <w:rsid w:val="5D1C1431"/>
    <w:rsid w:val="5D1D14D9"/>
    <w:rsid w:val="5D5C4B9B"/>
    <w:rsid w:val="5D6667C0"/>
    <w:rsid w:val="5DE52DE2"/>
    <w:rsid w:val="5DED613B"/>
    <w:rsid w:val="5DF35892"/>
    <w:rsid w:val="5DF50B4C"/>
    <w:rsid w:val="5E0237F1"/>
    <w:rsid w:val="5E291AB2"/>
    <w:rsid w:val="5E337FF2"/>
    <w:rsid w:val="5E7847E4"/>
    <w:rsid w:val="5E7B6DF9"/>
    <w:rsid w:val="5E940365"/>
    <w:rsid w:val="5EC24ED2"/>
    <w:rsid w:val="5F025C16"/>
    <w:rsid w:val="5F41673E"/>
    <w:rsid w:val="5F7E34EF"/>
    <w:rsid w:val="5FA12D39"/>
    <w:rsid w:val="5FA6034F"/>
    <w:rsid w:val="5FCC24AC"/>
    <w:rsid w:val="5FEB2206"/>
    <w:rsid w:val="602B11BB"/>
    <w:rsid w:val="60477D84"/>
    <w:rsid w:val="606D5311"/>
    <w:rsid w:val="60983FE2"/>
    <w:rsid w:val="609D1752"/>
    <w:rsid w:val="609E371C"/>
    <w:rsid w:val="60B63432"/>
    <w:rsid w:val="60E222B7"/>
    <w:rsid w:val="612D1611"/>
    <w:rsid w:val="613A1697"/>
    <w:rsid w:val="61581B1D"/>
    <w:rsid w:val="61781C0F"/>
    <w:rsid w:val="618F6DA7"/>
    <w:rsid w:val="619B6B9E"/>
    <w:rsid w:val="61A223F1"/>
    <w:rsid w:val="61AD3C17"/>
    <w:rsid w:val="61B07677"/>
    <w:rsid w:val="61FA45D1"/>
    <w:rsid w:val="620054AA"/>
    <w:rsid w:val="621E5376"/>
    <w:rsid w:val="624219DD"/>
    <w:rsid w:val="624E4BA4"/>
    <w:rsid w:val="627E6DAC"/>
    <w:rsid w:val="628C7CD0"/>
    <w:rsid w:val="62AF4BC0"/>
    <w:rsid w:val="62B341DC"/>
    <w:rsid w:val="62C0797A"/>
    <w:rsid w:val="62CD2097"/>
    <w:rsid w:val="62F76739"/>
    <w:rsid w:val="630006BE"/>
    <w:rsid w:val="631303F2"/>
    <w:rsid w:val="635326F3"/>
    <w:rsid w:val="636D5D54"/>
    <w:rsid w:val="638D1F52"/>
    <w:rsid w:val="63AD710B"/>
    <w:rsid w:val="63C72403"/>
    <w:rsid w:val="63E61662"/>
    <w:rsid w:val="64021259"/>
    <w:rsid w:val="64033FC2"/>
    <w:rsid w:val="640970FF"/>
    <w:rsid w:val="64124205"/>
    <w:rsid w:val="64142D03"/>
    <w:rsid w:val="64380133"/>
    <w:rsid w:val="645A795A"/>
    <w:rsid w:val="6481138B"/>
    <w:rsid w:val="64A5151D"/>
    <w:rsid w:val="64B02DA1"/>
    <w:rsid w:val="64C66BC6"/>
    <w:rsid w:val="651B1AD3"/>
    <w:rsid w:val="65470BE3"/>
    <w:rsid w:val="656211BC"/>
    <w:rsid w:val="659D3FA3"/>
    <w:rsid w:val="65AB66C0"/>
    <w:rsid w:val="65F930E1"/>
    <w:rsid w:val="660B715E"/>
    <w:rsid w:val="66106E6A"/>
    <w:rsid w:val="662C4588"/>
    <w:rsid w:val="66443116"/>
    <w:rsid w:val="66486604"/>
    <w:rsid w:val="66576847"/>
    <w:rsid w:val="66660838"/>
    <w:rsid w:val="66680A54"/>
    <w:rsid w:val="66996E60"/>
    <w:rsid w:val="66B824DA"/>
    <w:rsid w:val="671C70F2"/>
    <w:rsid w:val="67276C4F"/>
    <w:rsid w:val="673E6667"/>
    <w:rsid w:val="677D4715"/>
    <w:rsid w:val="67C920B3"/>
    <w:rsid w:val="67E3277A"/>
    <w:rsid w:val="67E418F2"/>
    <w:rsid w:val="67F51E74"/>
    <w:rsid w:val="681744E0"/>
    <w:rsid w:val="68212C69"/>
    <w:rsid w:val="682D3D04"/>
    <w:rsid w:val="6844104D"/>
    <w:rsid w:val="68570D81"/>
    <w:rsid w:val="68784853"/>
    <w:rsid w:val="68A33FC6"/>
    <w:rsid w:val="68CA3AF5"/>
    <w:rsid w:val="68E85596"/>
    <w:rsid w:val="68F95994"/>
    <w:rsid w:val="69053632"/>
    <w:rsid w:val="693D709C"/>
    <w:rsid w:val="69561E52"/>
    <w:rsid w:val="69782D5D"/>
    <w:rsid w:val="697D0373"/>
    <w:rsid w:val="69F3237A"/>
    <w:rsid w:val="6A251F90"/>
    <w:rsid w:val="6A334ED5"/>
    <w:rsid w:val="6A425119"/>
    <w:rsid w:val="6A4B0471"/>
    <w:rsid w:val="6A845DC1"/>
    <w:rsid w:val="6A935974"/>
    <w:rsid w:val="6A9763E2"/>
    <w:rsid w:val="6ACB058E"/>
    <w:rsid w:val="6AD00976"/>
    <w:rsid w:val="6AD93CCF"/>
    <w:rsid w:val="6ADF0BB9"/>
    <w:rsid w:val="6AE6019A"/>
    <w:rsid w:val="6BA37E39"/>
    <w:rsid w:val="6BBB746D"/>
    <w:rsid w:val="6BD83F86"/>
    <w:rsid w:val="6BE648F5"/>
    <w:rsid w:val="6C03624A"/>
    <w:rsid w:val="6C5C0714"/>
    <w:rsid w:val="6CB467A2"/>
    <w:rsid w:val="6CDA3D2E"/>
    <w:rsid w:val="6CDA788A"/>
    <w:rsid w:val="6CEF77DA"/>
    <w:rsid w:val="6D0019E7"/>
    <w:rsid w:val="6D394EF9"/>
    <w:rsid w:val="6D857B13"/>
    <w:rsid w:val="6DD8221D"/>
    <w:rsid w:val="6DD84013"/>
    <w:rsid w:val="6DE03E3C"/>
    <w:rsid w:val="6E1F7C4B"/>
    <w:rsid w:val="6E254B52"/>
    <w:rsid w:val="6E2C680B"/>
    <w:rsid w:val="6E553E8A"/>
    <w:rsid w:val="6E6366DF"/>
    <w:rsid w:val="6E8D1C96"/>
    <w:rsid w:val="6E9A069E"/>
    <w:rsid w:val="6EA73AA5"/>
    <w:rsid w:val="6EB81C75"/>
    <w:rsid w:val="6EC10D02"/>
    <w:rsid w:val="6EE044FB"/>
    <w:rsid w:val="6F0D2199"/>
    <w:rsid w:val="6F1A741A"/>
    <w:rsid w:val="6F2B1F97"/>
    <w:rsid w:val="6F3141F7"/>
    <w:rsid w:val="6F424480"/>
    <w:rsid w:val="6F481423"/>
    <w:rsid w:val="6F4831D1"/>
    <w:rsid w:val="6FBD596D"/>
    <w:rsid w:val="6FCA62DC"/>
    <w:rsid w:val="6FD750BB"/>
    <w:rsid w:val="6FF45107"/>
    <w:rsid w:val="703A5210"/>
    <w:rsid w:val="70730722"/>
    <w:rsid w:val="707F2C23"/>
    <w:rsid w:val="70DF36C1"/>
    <w:rsid w:val="70FA56F7"/>
    <w:rsid w:val="710C7A14"/>
    <w:rsid w:val="71122145"/>
    <w:rsid w:val="71184E25"/>
    <w:rsid w:val="713A18C1"/>
    <w:rsid w:val="717B5AE0"/>
    <w:rsid w:val="717E4F37"/>
    <w:rsid w:val="717F68AE"/>
    <w:rsid w:val="71867FE1"/>
    <w:rsid w:val="71922E29"/>
    <w:rsid w:val="71A55281"/>
    <w:rsid w:val="71E77698"/>
    <w:rsid w:val="72086C48"/>
    <w:rsid w:val="7212665A"/>
    <w:rsid w:val="721675B7"/>
    <w:rsid w:val="72277DAC"/>
    <w:rsid w:val="72880AB4"/>
    <w:rsid w:val="728A0A86"/>
    <w:rsid w:val="729B6B8D"/>
    <w:rsid w:val="72EC0317"/>
    <w:rsid w:val="73202998"/>
    <w:rsid w:val="733A5527"/>
    <w:rsid w:val="73922C6D"/>
    <w:rsid w:val="73A511CF"/>
    <w:rsid w:val="73AA445A"/>
    <w:rsid w:val="73BE521F"/>
    <w:rsid w:val="73C53042"/>
    <w:rsid w:val="73DC038C"/>
    <w:rsid w:val="73F30317"/>
    <w:rsid w:val="73FB2F08"/>
    <w:rsid w:val="73FC458A"/>
    <w:rsid w:val="741A17AC"/>
    <w:rsid w:val="747A415B"/>
    <w:rsid w:val="747C2AFA"/>
    <w:rsid w:val="74832F17"/>
    <w:rsid w:val="7487654A"/>
    <w:rsid w:val="7491561A"/>
    <w:rsid w:val="749D3FBF"/>
    <w:rsid w:val="749F63FE"/>
    <w:rsid w:val="74AF784E"/>
    <w:rsid w:val="74B14A44"/>
    <w:rsid w:val="74DD5B64"/>
    <w:rsid w:val="74E10BB9"/>
    <w:rsid w:val="75374DD3"/>
    <w:rsid w:val="755F3023"/>
    <w:rsid w:val="75774810"/>
    <w:rsid w:val="75864A53"/>
    <w:rsid w:val="75992E19"/>
    <w:rsid w:val="759B16A2"/>
    <w:rsid w:val="75C817BE"/>
    <w:rsid w:val="75DE663D"/>
    <w:rsid w:val="75EF084A"/>
    <w:rsid w:val="76271881"/>
    <w:rsid w:val="7669487B"/>
    <w:rsid w:val="76A230B8"/>
    <w:rsid w:val="76BF021D"/>
    <w:rsid w:val="76C1790D"/>
    <w:rsid w:val="76E539FB"/>
    <w:rsid w:val="76EE323C"/>
    <w:rsid w:val="76FD0695"/>
    <w:rsid w:val="771F0CBB"/>
    <w:rsid w:val="7730111A"/>
    <w:rsid w:val="77732DB5"/>
    <w:rsid w:val="77845E7A"/>
    <w:rsid w:val="779C230C"/>
    <w:rsid w:val="77BC650A"/>
    <w:rsid w:val="77BF0845"/>
    <w:rsid w:val="77C42393"/>
    <w:rsid w:val="77D575CC"/>
    <w:rsid w:val="77EF4B32"/>
    <w:rsid w:val="783D0F0C"/>
    <w:rsid w:val="78850FF2"/>
    <w:rsid w:val="78884375"/>
    <w:rsid w:val="78F543CA"/>
    <w:rsid w:val="790E0FE8"/>
    <w:rsid w:val="791C748D"/>
    <w:rsid w:val="7936053E"/>
    <w:rsid w:val="79694470"/>
    <w:rsid w:val="79D7073E"/>
    <w:rsid w:val="79E85CDC"/>
    <w:rsid w:val="79FF3ECB"/>
    <w:rsid w:val="7A3C1B84"/>
    <w:rsid w:val="7AA55A13"/>
    <w:rsid w:val="7AC16EAB"/>
    <w:rsid w:val="7AD61FD9"/>
    <w:rsid w:val="7AF75AAB"/>
    <w:rsid w:val="7AFA71D2"/>
    <w:rsid w:val="7B3A2568"/>
    <w:rsid w:val="7B3F1B72"/>
    <w:rsid w:val="7BA07274"/>
    <w:rsid w:val="7BEC1388"/>
    <w:rsid w:val="7C280C26"/>
    <w:rsid w:val="7C3201A0"/>
    <w:rsid w:val="7C391F84"/>
    <w:rsid w:val="7C457407"/>
    <w:rsid w:val="7C635AEE"/>
    <w:rsid w:val="7CA37C99"/>
    <w:rsid w:val="7CA83501"/>
    <w:rsid w:val="7CB2612E"/>
    <w:rsid w:val="7CEB50A4"/>
    <w:rsid w:val="7CEC5AE4"/>
    <w:rsid w:val="7D3D00ED"/>
    <w:rsid w:val="7D5D078F"/>
    <w:rsid w:val="7D831878"/>
    <w:rsid w:val="7DA10EA2"/>
    <w:rsid w:val="7DA37984"/>
    <w:rsid w:val="7DD3169C"/>
    <w:rsid w:val="7DD86068"/>
    <w:rsid w:val="7DE75C96"/>
    <w:rsid w:val="7E2B4536"/>
    <w:rsid w:val="7E452354"/>
    <w:rsid w:val="7E4B4A8C"/>
    <w:rsid w:val="7E5C45A3"/>
    <w:rsid w:val="7E603C9E"/>
    <w:rsid w:val="7E637271"/>
    <w:rsid w:val="7E7062A0"/>
    <w:rsid w:val="7E8F4979"/>
    <w:rsid w:val="7EA83C8C"/>
    <w:rsid w:val="7EB663A9"/>
    <w:rsid w:val="7ECD36F3"/>
    <w:rsid w:val="7ED12248"/>
    <w:rsid w:val="7ED93E46"/>
    <w:rsid w:val="7EE84397"/>
    <w:rsid w:val="7EEA7E01"/>
    <w:rsid w:val="7F04072B"/>
    <w:rsid w:val="7F1117C5"/>
    <w:rsid w:val="7F160BF6"/>
    <w:rsid w:val="7F7E4A7F"/>
    <w:rsid w:val="7FBD3767"/>
    <w:rsid w:val="7FCE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8"/>
      <w:sz w:val="28"/>
      <w:lang w:val="en-US" w:eastAsia="zh-CN" w:bidi="ar-SA"/>
    </w:rPr>
  </w:style>
  <w:style w:type="paragraph" w:styleId="3">
    <w:name w:val="heading 1"/>
    <w:basedOn w:val="1"/>
    <w:next w:val="1"/>
    <w:qFormat/>
    <w:uiPriority w:val="0"/>
    <w:pPr>
      <w:keepNext/>
      <w:spacing w:line="300" w:lineRule="auto"/>
      <w:jc w:val="center"/>
      <w:outlineLvl w:val="0"/>
    </w:pPr>
    <w:rPr>
      <w:rFonts w:ascii="标宋体"/>
      <w:kern w:val="2"/>
      <w:szCs w:val="2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link w:val="114"/>
    <w:unhideWhenUsed/>
    <w:qFormat/>
    <w:uiPriority w:val="0"/>
    <w:pPr>
      <w:keepNext/>
      <w:keepLines/>
      <w:spacing w:before="280" w:after="290" w:line="376"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200" w:leftChars="200"/>
    </w:pPr>
  </w:style>
  <w:style w:type="paragraph" w:styleId="8">
    <w:name w:val="annotation text"/>
    <w:basedOn w:val="1"/>
    <w:next w:val="7"/>
    <w:link w:val="111"/>
    <w:qFormat/>
    <w:uiPriority w:val="0"/>
    <w:pPr>
      <w:jc w:val="left"/>
    </w:pPr>
  </w:style>
  <w:style w:type="paragraph" w:styleId="9">
    <w:name w:val="Body Text"/>
    <w:basedOn w:val="1"/>
    <w:next w:val="10"/>
    <w:qFormat/>
    <w:uiPriority w:val="0"/>
    <w:pPr>
      <w:spacing w:after="120"/>
    </w:pPr>
    <w:rPr>
      <w:kern w:val="2"/>
      <w:sz w:val="21"/>
      <w:szCs w:val="24"/>
    </w:rPr>
  </w:style>
  <w:style w:type="paragraph" w:customStyle="1" w:styleId="10">
    <w:name w:val="正文文本 21"/>
    <w:basedOn w:val="1"/>
    <w:qFormat/>
    <w:uiPriority w:val="0"/>
    <w:pPr>
      <w:adjustRightInd w:val="0"/>
      <w:spacing w:line="360" w:lineRule="atLeast"/>
      <w:ind w:left="480"/>
    </w:pPr>
    <w:rPr>
      <w:rFonts w:ascii="宋体"/>
      <w:kern w:val="0"/>
      <w:sz w:val="24"/>
    </w:rPr>
  </w:style>
  <w:style w:type="paragraph" w:styleId="11">
    <w:name w:val="Body Text Indent"/>
    <w:basedOn w:val="1"/>
    <w:next w:val="12"/>
    <w:qFormat/>
    <w:uiPriority w:val="0"/>
    <w:pPr>
      <w:ind w:firstLine="480"/>
    </w:pPr>
    <w:rPr>
      <w:kern w:val="2"/>
      <w:sz w:val="24"/>
    </w:rPr>
  </w:style>
  <w:style w:type="paragraph" w:styleId="12">
    <w:name w:val="toc 8"/>
    <w:basedOn w:val="1"/>
    <w:next w:val="1"/>
    <w:qFormat/>
    <w:uiPriority w:val="39"/>
    <w:pPr>
      <w:ind w:left="1470"/>
      <w:jc w:val="left"/>
    </w:pPr>
    <w:rPr>
      <w:sz w:val="18"/>
      <w:szCs w:val="18"/>
    </w:rPr>
  </w:style>
  <w:style w:type="paragraph" w:styleId="13">
    <w:name w:val="toc 3"/>
    <w:basedOn w:val="1"/>
    <w:next w:val="1"/>
    <w:qFormat/>
    <w:uiPriority w:val="39"/>
    <w:pPr>
      <w:ind w:left="840" w:leftChars="400"/>
    </w:pPr>
  </w:style>
  <w:style w:type="paragraph" w:styleId="14">
    <w:name w:val="Plain Text"/>
    <w:basedOn w:val="1"/>
    <w:next w:val="1"/>
    <w:link w:val="117"/>
    <w:qFormat/>
    <w:uiPriority w:val="0"/>
    <w:rPr>
      <w:rFonts w:ascii="宋体" w:hAnsi="Courier New"/>
      <w:kern w:val="2"/>
      <w:sz w:val="21"/>
    </w:rPr>
  </w:style>
  <w:style w:type="paragraph" w:styleId="15">
    <w:name w:val="Balloon Text"/>
    <w:basedOn w:val="1"/>
    <w:link w:val="109"/>
    <w:qFormat/>
    <w:uiPriority w:val="0"/>
    <w:rPr>
      <w:sz w:val="18"/>
      <w:szCs w:val="18"/>
    </w:rPr>
  </w:style>
  <w:style w:type="paragraph" w:styleId="16">
    <w:name w:val="footer"/>
    <w:basedOn w:val="1"/>
    <w:next w:val="1"/>
    <w:link w:val="119"/>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20">
    <w:name w:val="List"/>
    <w:basedOn w:val="1"/>
    <w:qFormat/>
    <w:uiPriority w:val="0"/>
    <w:pPr>
      <w:ind w:left="420" w:hanging="420"/>
    </w:pPr>
  </w:style>
  <w:style w:type="paragraph" w:styleId="21">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22">
    <w:name w:val="Body Text 2"/>
    <w:basedOn w:val="1"/>
    <w:qFormat/>
    <w:uiPriority w:val="0"/>
    <w:pPr>
      <w:spacing w:line="540" w:lineRule="exact"/>
    </w:pPr>
    <w:rPr>
      <w:color w:val="FF0000"/>
      <w:kern w:val="2"/>
      <w:sz w:val="21"/>
      <w:szCs w:val="24"/>
    </w:rPr>
  </w:style>
  <w:style w:type="paragraph" w:styleId="23">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8"/>
    <w:next w:val="8"/>
    <w:link w:val="112"/>
    <w:qFormat/>
    <w:uiPriority w:val="0"/>
    <w:rPr>
      <w:b/>
      <w:bCs/>
    </w:rPr>
  </w:style>
  <w:style w:type="paragraph" w:styleId="26">
    <w:name w:val="Body Text First Indent 2"/>
    <w:basedOn w:val="11"/>
    <w:next w:val="8"/>
    <w:qFormat/>
    <w:uiPriority w:val="0"/>
    <w:pPr>
      <w:spacing w:after="120"/>
      <w:ind w:left="420" w:leftChars="200" w:firstLine="420" w:firstLineChars="200"/>
    </w:pPr>
    <w:rPr>
      <w:kern w:val="28"/>
      <w:sz w:val="28"/>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qFormat/>
    <w:uiPriority w:val="0"/>
    <w:rPr>
      <w:color w:val="444444"/>
      <w:u w:val="none"/>
    </w:rPr>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样式13"/>
    <w:basedOn w:val="3"/>
    <w:qFormat/>
    <w:uiPriority w:val="0"/>
    <w:pPr>
      <w:spacing w:line="360" w:lineRule="auto"/>
    </w:pPr>
    <w:rPr>
      <w:b/>
      <w:sz w:val="44"/>
    </w:rPr>
  </w:style>
  <w:style w:type="paragraph" w:customStyle="1" w:styleId="36">
    <w:name w:val="样式22"/>
    <w:basedOn w:val="37"/>
    <w:qFormat/>
    <w:uiPriority w:val="0"/>
    <w:pPr>
      <w:ind w:left="0" w:firstLine="200" w:firstLineChars="200"/>
    </w:pPr>
  </w:style>
  <w:style w:type="paragraph" w:customStyle="1" w:styleId="37">
    <w:name w:val="样式21"/>
    <w:basedOn w:val="4"/>
    <w:qFormat/>
    <w:uiPriority w:val="0"/>
    <w:pPr>
      <w:spacing w:before="0" w:after="0" w:line="360" w:lineRule="auto"/>
      <w:ind w:left="200" w:hanging="200" w:hangingChars="200"/>
    </w:pPr>
    <w:rPr>
      <w:sz w:val="24"/>
    </w:rPr>
  </w:style>
  <w:style w:type="paragraph" w:customStyle="1" w:styleId="38">
    <w:name w:val="样式23"/>
    <w:basedOn w:val="39"/>
    <w:qFormat/>
    <w:uiPriority w:val="0"/>
    <w:rPr>
      <w:sz w:val="24"/>
    </w:rPr>
  </w:style>
  <w:style w:type="paragraph" w:customStyle="1" w:styleId="39">
    <w:name w:val="样式17"/>
    <w:basedOn w:val="40"/>
    <w:qFormat/>
    <w:uiPriority w:val="0"/>
    <w:pPr>
      <w:ind w:firstLine="200" w:firstLineChars="200"/>
    </w:pPr>
  </w:style>
  <w:style w:type="paragraph" w:customStyle="1" w:styleId="40">
    <w:name w:val="样式16"/>
    <w:basedOn w:val="4"/>
    <w:qFormat/>
    <w:uiPriority w:val="0"/>
    <w:pPr>
      <w:spacing w:before="0" w:after="0" w:line="360" w:lineRule="auto"/>
    </w:pPr>
    <w:rPr>
      <w:sz w:val="28"/>
    </w:rPr>
  </w:style>
  <w:style w:type="paragraph" w:customStyle="1" w:styleId="41">
    <w:name w:val="样式26"/>
    <w:basedOn w:val="42"/>
    <w:qFormat/>
    <w:uiPriority w:val="0"/>
    <w:pPr>
      <w:ind w:firstLine="562"/>
    </w:pPr>
    <w:rPr>
      <w:sz w:val="24"/>
    </w:rPr>
  </w:style>
  <w:style w:type="paragraph" w:customStyle="1" w:styleId="42">
    <w:name w:val="样式24"/>
    <w:basedOn w:val="4"/>
    <w:qFormat/>
    <w:uiPriority w:val="0"/>
    <w:pPr>
      <w:spacing w:before="0" w:after="0" w:line="360" w:lineRule="auto"/>
      <w:ind w:firstLine="200" w:firstLineChars="200"/>
    </w:pPr>
    <w:rPr>
      <w:sz w:val="28"/>
    </w:rPr>
  </w:style>
  <w:style w:type="paragraph" w:customStyle="1" w:styleId="43">
    <w:name w:val="样式25"/>
    <w:basedOn w:val="44"/>
    <w:qFormat/>
    <w:uiPriority w:val="0"/>
    <w:rPr>
      <w:sz w:val="24"/>
    </w:rPr>
  </w:style>
  <w:style w:type="paragraph" w:customStyle="1" w:styleId="44">
    <w:name w:val="样式20"/>
    <w:basedOn w:val="4"/>
    <w:qFormat/>
    <w:uiPriority w:val="0"/>
    <w:pPr>
      <w:spacing w:before="0" w:after="0" w:line="360" w:lineRule="auto"/>
      <w:ind w:firstLine="200" w:firstLineChars="200"/>
    </w:pPr>
  </w:style>
  <w:style w:type="paragraph" w:customStyle="1" w:styleId="45">
    <w:name w:val="样式27"/>
    <w:basedOn w:val="4"/>
    <w:qFormat/>
    <w:uiPriority w:val="0"/>
    <w:pPr>
      <w:spacing w:before="0" w:after="0" w:line="360" w:lineRule="auto"/>
      <w:ind w:firstLine="200" w:firstLineChars="200"/>
    </w:pPr>
    <w:rPr>
      <w:sz w:val="24"/>
    </w:rPr>
  </w:style>
  <w:style w:type="paragraph" w:customStyle="1" w:styleId="46">
    <w:name w:val="样式124"/>
    <w:basedOn w:val="4"/>
    <w:qFormat/>
    <w:uiPriority w:val="0"/>
    <w:pPr>
      <w:spacing w:before="0" w:after="0" w:line="360" w:lineRule="auto"/>
      <w:ind w:firstLine="200" w:firstLineChars="200"/>
    </w:pPr>
    <w:rPr>
      <w:sz w:val="24"/>
    </w:rPr>
  </w:style>
  <w:style w:type="paragraph" w:customStyle="1" w:styleId="47">
    <w:name w:val="样式30"/>
    <w:basedOn w:val="4"/>
    <w:qFormat/>
    <w:uiPriority w:val="0"/>
    <w:pPr>
      <w:spacing w:before="0" w:after="0" w:line="360" w:lineRule="auto"/>
      <w:ind w:firstLine="200" w:firstLineChars="200"/>
    </w:pPr>
    <w:rPr>
      <w:sz w:val="24"/>
    </w:rPr>
  </w:style>
  <w:style w:type="paragraph" w:customStyle="1" w:styleId="48">
    <w:name w:val="样式54"/>
    <w:basedOn w:val="2"/>
    <w:qFormat/>
    <w:uiPriority w:val="0"/>
    <w:pPr>
      <w:spacing w:before="0" w:after="0" w:line="360" w:lineRule="auto"/>
      <w:jc w:val="center"/>
    </w:pPr>
  </w:style>
  <w:style w:type="paragraph" w:customStyle="1" w:styleId="49">
    <w:name w:val="样式55"/>
    <w:basedOn w:val="4"/>
    <w:qFormat/>
    <w:uiPriority w:val="0"/>
    <w:pPr>
      <w:spacing w:before="0" w:after="0" w:line="360" w:lineRule="auto"/>
    </w:pPr>
    <w:rPr>
      <w:sz w:val="28"/>
    </w:rPr>
  </w:style>
  <w:style w:type="character" w:customStyle="1" w:styleId="50">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51">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paragraph" w:customStyle="1" w:styleId="52">
    <w:name w:val="目录1"/>
    <w:basedOn w:val="1"/>
    <w:qFormat/>
    <w:uiPriority w:val="0"/>
    <w:rPr>
      <w:rFonts w:ascii="黑体" w:eastAsia="黑体"/>
      <w:kern w:val="2"/>
      <w:sz w:val="52"/>
    </w:rPr>
  </w:style>
  <w:style w:type="paragraph" w:customStyle="1" w:styleId="53">
    <w:name w:val="样式34"/>
    <w:basedOn w:val="4"/>
    <w:qFormat/>
    <w:uiPriority w:val="0"/>
    <w:pPr>
      <w:spacing w:before="0" w:after="0" w:line="360" w:lineRule="auto"/>
      <w:ind w:firstLine="200" w:firstLineChars="200"/>
    </w:pPr>
    <w:rPr>
      <w:sz w:val="24"/>
    </w:rPr>
  </w:style>
  <w:style w:type="paragraph" w:customStyle="1" w:styleId="5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正文文本 (2)"/>
    <w:basedOn w:val="1"/>
    <w:qFormat/>
    <w:uiPriority w:val="0"/>
    <w:pPr>
      <w:shd w:val="clear" w:color="auto" w:fill="FFFFFF"/>
      <w:spacing w:before="360" w:line="566" w:lineRule="exact"/>
      <w:jc w:val="distribute"/>
    </w:pPr>
    <w:rPr>
      <w:rFonts w:ascii="宋体" w:hAnsi="宋体"/>
      <w:kern w:val="0"/>
      <w:sz w:val="22"/>
      <w:szCs w:val="22"/>
    </w:rPr>
  </w:style>
  <w:style w:type="paragraph" w:customStyle="1" w:styleId="56">
    <w:name w:val="样式42"/>
    <w:basedOn w:val="57"/>
    <w:qFormat/>
    <w:uiPriority w:val="0"/>
    <w:rPr>
      <w:sz w:val="28"/>
    </w:rPr>
  </w:style>
  <w:style w:type="paragraph" w:customStyle="1" w:styleId="57">
    <w:name w:val="样式41"/>
    <w:basedOn w:val="4"/>
    <w:qFormat/>
    <w:uiPriority w:val="0"/>
    <w:pPr>
      <w:spacing w:before="0" w:after="0" w:line="360" w:lineRule="auto"/>
    </w:pPr>
    <w:rPr>
      <w:sz w:val="24"/>
    </w:rPr>
  </w:style>
  <w:style w:type="paragraph" w:customStyle="1" w:styleId="58">
    <w:name w:val="样式44"/>
    <w:basedOn w:val="4"/>
    <w:qFormat/>
    <w:uiPriority w:val="0"/>
    <w:pPr>
      <w:spacing w:before="0" w:after="0" w:line="360" w:lineRule="auto"/>
    </w:pPr>
    <w:rPr>
      <w:sz w:val="28"/>
    </w:rPr>
  </w:style>
  <w:style w:type="paragraph" w:customStyle="1" w:styleId="59">
    <w:name w:val="样式48"/>
    <w:basedOn w:val="4"/>
    <w:qFormat/>
    <w:uiPriority w:val="0"/>
    <w:pPr>
      <w:spacing w:before="0" w:after="0" w:line="360" w:lineRule="auto"/>
    </w:pPr>
    <w:rPr>
      <w:sz w:val="28"/>
    </w:rPr>
  </w:style>
  <w:style w:type="paragraph" w:customStyle="1" w:styleId="60">
    <w:name w:val="样式49"/>
    <w:basedOn w:val="4"/>
    <w:qFormat/>
    <w:uiPriority w:val="0"/>
    <w:pPr>
      <w:spacing w:before="0" w:after="0" w:line="360" w:lineRule="auto"/>
    </w:pPr>
    <w:rPr>
      <w:sz w:val="28"/>
    </w:rPr>
  </w:style>
  <w:style w:type="paragraph" w:customStyle="1" w:styleId="61">
    <w:name w:val="样式50"/>
    <w:basedOn w:val="4"/>
    <w:qFormat/>
    <w:uiPriority w:val="0"/>
    <w:pPr>
      <w:spacing w:before="0" w:after="0" w:line="360" w:lineRule="auto"/>
    </w:pPr>
    <w:rPr>
      <w:sz w:val="28"/>
    </w:rPr>
  </w:style>
  <w:style w:type="paragraph" w:customStyle="1" w:styleId="62">
    <w:name w:val="样式51"/>
    <w:basedOn w:val="4"/>
    <w:qFormat/>
    <w:uiPriority w:val="0"/>
    <w:pPr>
      <w:spacing w:before="0" w:after="0" w:line="360" w:lineRule="auto"/>
    </w:pPr>
    <w:rPr>
      <w:sz w:val="28"/>
    </w:rPr>
  </w:style>
  <w:style w:type="paragraph" w:customStyle="1" w:styleId="63">
    <w:name w:val="样式52"/>
    <w:basedOn w:val="4"/>
    <w:qFormat/>
    <w:uiPriority w:val="0"/>
    <w:pPr>
      <w:spacing w:before="0" w:after="0" w:line="360" w:lineRule="auto"/>
    </w:pPr>
    <w:rPr>
      <w:sz w:val="28"/>
    </w:rPr>
  </w:style>
  <w:style w:type="paragraph" w:customStyle="1" w:styleId="64">
    <w:name w:val="样式58"/>
    <w:basedOn w:val="4"/>
    <w:qFormat/>
    <w:uiPriority w:val="0"/>
    <w:pPr>
      <w:spacing w:before="0" w:after="0" w:line="360" w:lineRule="auto"/>
      <w:ind w:firstLine="200" w:firstLineChars="200"/>
    </w:pPr>
    <w:rPr>
      <w:sz w:val="28"/>
    </w:rPr>
  </w:style>
  <w:style w:type="paragraph" w:customStyle="1" w:styleId="65">
    <w:name w:val="样式59"/>
    <w:basedOn w:val="24"/>
    <w:qFormat/>
    <w:uiPriority w:val="0"/>
    <w:rPr>
      <w:sz w:val="44"/>
    </w:rPr>
  </w:style>
  <w:style w:type="paragraph" w:customStyle="1" w:styleId="66">
    <w:name w:val="样式60"/>
    <w:basedOn w:val="2"/>
    <w:qFormat/>
    <w:uiPriority w:val="0"/>
    <w:pPr>
      <w:spacing w:before="0" w:after="0" w:line="360" w:lineRule="auto"/>
      <w:jc w:val="center"/>
    </w:pPr>
    <w:rPr>
      <w:rFonts w:eastAsia="宋体"/>
    </w:rPr>
  </w:style>
  <w:style w:type="paragraph" w:styleId="67">
    <w:name w:val="List Paragraph"/>
    <w:basedOn w:val="1"/>
    <w:qFormat/>
    <w:uiPriority w:val="99"/>
    <w:pPr>
      <w:ind w:firstLine="420" w:firstLineChars="200"/>
    </w:pPr>
    <w:rPr>
      <w:kern w:val="2"/>
      <w:sz w:val="21"/>
      <w:szCs w:val="22"/>
    </w:rPr>
  </w:style>
  <w:style w:type="paragraph" w:customStyle="1" w:styleId="68">
    <w:name w:val="样式61"/>
    <w:basedOn w:val="4"/>
    <w:qFormat/>
    <w:uiPriority w:val="0"/>
    <w:pPr>
      <w:spacing w:before="0" w:after="0" w:line="360" w:lineRule="auto"/>
      <w:ind w:firstLine="200" w:firstLineChars="200"/>
    </w:pPr>
    <w:rPr>
      <w:sz w:val="24"/>
    </w:rPr>
  </w:style>
  <w:style w:type="paragraph" w:customStyle="1" w:styleId="69">
    <w:name w:val="样式63"/>
    <w:basedOn w:val="4"/>
    <w:qFormat/>
    <w:uiPriority w:val="0"/>
    <w:pPr>
      <w:spacing w:before="0" w:after="0" w:line="360" w:lineRule="auto"/>
      <w:ind w:firstLine="200" w:firstLineChars="200"/>
    </w:pPr>
    <w:rPr>
      <w:sz w:val="24"/>
    </w:rPr>
  </w:style>
  <w:style w:type="paragraph" w:customStyle="1" w:styleId="70">
    <w:name w:val="样式64"/>
    <w:basedOn w:val="4"/>
    <w:qFormat/>
    <w:uiPriority w:val="0"/>
    <w:pPr>
      <w:spacing w:before="0" w:after="0" w:line="360" w:lineRule="auto"/>
      <w:ind w:firstLine="200" w:firstLineChars="200"/>
    </w:pPr>
    <w:rPr>
      <w:sz w:val="24"/>
    </w:rPr>
  </w:style>
  <w:style w:type="paragraph" w:customStyle="1" w:styleId="71">
    <w:name w:val="样式65"/>
    <w:basedOn w:val="4"/>
    <w:qFormat/>
    <w:uiPriority w:val="0"/>
    <w:pPr>
      <w:spacing w:before="0" w:after="0" w:line="360" w:lineRule="auto"/>
      <w:ind w:firstLine="200" w:firstLineChars="200"/>
    </w:pPr>
    <w:rPr>
      <w:sz w:val="24"/>
    </w:rPr>
  </w:style>
  <w:style w:type="paragraph" w:customStyle="1" w:styleId="72">
    <w:name w:val="样式66"/>
    <w:basedOn w:val="4"/>
    <w:qFormat/>
    <w:uiPriority w:val="0"/>
    <w:pPr>
      <w:spacing w:before="0" w:after="0" w:line="360" w:lineRule="auto"/>
      <w:ind w:firstLine="200" w:firstLineChars="200"/>
    </w:pPr>
    <w:rPr>
      <w:sz w:val="24"/>
    </w:rPr>
  </w:style>
  <w:style w:type="paragraph" w:customStyle="1" w:styleId="73">
    <w:name w:val="样式67"/>
    <w:basedOn w:val="4"/>
    <w:qFormat/>
    <w:uiPriority w:val="0"/>
    <w:pPr>
      <w:spacing w:before="0" w:after="0" w:line="360" w:lineRule="auto"/>
      <w:ind w:firstLine="200" w:firstLineChars="200"/>
    </w:pPr>
    <w:rPr>
      <w:sz w:val="24"/>
    </w:rPr>
  </w:style>
  <w:style w:type="paragraph" w:customStyle="1" w:styleId="74">
    <w:name w:val="样式68"/>
    <w:basedOn w:val="4"/>
    <w:qFormat/>
    <w:uiPriority w:val="0"/>
    <w:pPr>
      <w:spacing w:before="0" w:after="0" w:line="360" w:lineRule="auto"/>
      <w:ind w:firstLine="200" w:firstLineChars="200"/>
    </w:pPr>
    <w:rPr>
      <w:sz w:val="24"/>
    </w:rPr>
  </w:style>
  <w:style w:type="paragraph" w:customStyle="1" w:styleId="75">
    <w:name w:val="样式69"/>
    <w:basedOn w:val="4"/>
    <w:qFormat/>
    <w:uiPriority w:val="0"/>
    <w:pPr>
      <w:spacing w:before="0" w:after="0" w:line="360" w:lineRule="auto"/>
      <w:ind w:firstLine="200" w:firstLineChars="200"/>
    </w:pPr>
    <w:rPr>
      <w:sz w:val="24"/>
    </w:rPr>
  </w:style>
  <w:style w:type="paragraph" w:customStyle="1" w:styleId="76">
    <w:name w:val="样式79"/>
    <w:basedOn w:val="4"/>
    <w:qFormat/>
    <w:uiPriority w:val="0"/>
    <w:pPr>
      <w:spacing w:before="0" w:after="0" w:line="360" w:lineRule="auto"/>
    </w:pPr>
  </w:style>
  <w:style w:type="paragraph" w:customStyle="1" w:styleId="77">
    <w:name w:val="样式82"/>
    <w:basedOn w:val="3"/>
    <w:qFormat/>
    <w:uiPriority w:val="0"/>
    <w:pPr>
      <w:spacing w:line="360" w:lineRule="auto"/>
    </w:pPr>
    <w:rPr>
      <w:b/>
      <w:sz w:val="44"/>
    </w:rPr>
  </w:style>
  <w:style w:type="paragraph" w:customStyle="1" w:styleId="78">
    <w:name w:val="标题 #6 (2)"/>
    <w:basedOn w:val="1"/>
    <w:qFormat/>
    <w:uiPriority w:val="0"/>
    <w:pPr>
      <w:shd w:val="clear" w:color="auto" w:fill="FFFFFF"/>
      <w:spacing w:before="540" w:after="660" w:line="0" w:lineRule="atLeast"/>
      <w:jc w:val="center"/>
      <w:outlineLvl w:val="5"/>
    </w:pPr>
    <w:rPr>
      <w:rFonts w:ascii="宋体" w:hAnsi="宋体"/>
      <w:kern w:val="0"/>
      <w:szCs w:val="28"/>
    </w:rPr>
  </w:style>
  <w:style w:type="paragraph" w:customStyle="1" w:styleId="79">
    <w:name w:val="样式91"/>
    <w:basedOn w:val="3"/>
    <w:qFormat/>
    <w:uiPriority w:val="0"/>
    <w:rPr>
      <w:b/>
      <w:sz w:val="44"/>
    </w:rPr>
  </w:style>
  <w:style w:type="paragraph" w:customStyle="1" w:styleId="80">
    <w:name w:val="标题 1，章节标题 + 居中"/>
    <w:basedOn w:val="3"/>
    <w:qFormat/>
    <w:uiPriority w:val="0"/>
    <w:pPr>
      <w:keepLines/>
      <w:spacing w:before="340" w:after="330" w:line="578" w:lineRule="auto"/>
    </w:pPr>
    <w:rPr>
      <w:rFonts w:ascii="Times New Roman"/>
      <w:b/>
      <w:bCs/>
      <w:kern w:val="44"/>
      <w:sz w:val="44"/>
      <w:szCs w:val="44"/>
    </w:rPr>
  </w:style>
  <w:style w:type="paragraph" w:customStyle="1" w:styleId="81">
    <w:name w:val="样式14"/>
    <w:basedOn w:val="2"/>
    <w:qFormat/>
    <w:uiPriority w:val="0"/>
    <w:pPr>
      <w:spacing w:before="0" w:after="0" w:line="360" w:lineRule="auto"/>
      <w:jc w:val="center"/>
    </w:pPr>
  </w:style>
  <w:style w:type="paragraph" w:customStyle="1" w:styleId="82">
    <w:name w:val="正文文本 (6)"/>
    <w:basedOn w:val="1"/>
    <w:qFormat/>
    <w:uiPriority w:val="0"/>
    <w:pPr>
      <w:shd w:val="clear" w:color="auto" w:fill="FFFFFF"/>
      <w:spacing w:before="120" w:after="240" w:line="0" w:lineRule="atLeast"/>
      <w:jc w:val="center"/>
    </w:pPr>
    <w:rPr>
      <w:rFonts w:ascii="宋体" w:hAnsi="宋体"/>
      <w:kern w:val="0"/>
      <w:sz w:val="19"/>
      <w:szCs w:val="19"/>
    </w:rPr>
  </w:style>
  <w:style w:type="paragraph" w:customStyle="1" w:styleId="83">
    <w:name w:val="样式29"/>
    <w:basedOn w:val="84"/>
    <w:qFormat/>
    <w:uiPriority w:val="0"/>
    <w:pPr>
      <w:ind w:firstLine="200" w:firstLineChars="200"/>
    </w:pPr>
  </w:style>
  <w:style w:type="paragraph" w:customStyle="1" w:styleId="84">
    <w:name w:val="样式28"/>
    <w:basedOn w:val="1"/>
    <w:qFormat/>
    <w:uiPriority w:val="0"/>
    <w:pPr>
      <w:spacing w:line="360" w:lineRule="auto"/>
      <w:ind w:firstLine="1134" w:firstLineChars="1134"/>
    </w:pPr>
    <w:rPr>
      <w:rFonts w:ascii="宋体" w:hAnsi="宋体"/>
      <w:b/>
      <w:sz w:val="24"/>
      <w:szCs w:val="21"/>
    </w:rPr>
  </w:style>
  <w:style w:type="paragraph" w:customStyle="1" w:styleId="85">
    <w:name w:val="样式116"/>
    <w:basedOn w:val="86"/>
    <w:qFormat/>
    <w:uiPriority w:val="0"/>
    <w:pPr>
      <w:spacing w:before="100" w:beforeAutospacing="1" w:after="100" w:afterAutospacing="1"/>
    </w:pPr>
  </w:style>
  <w:style w:type="paragraph" w:customStyle="1" w:styleId="86">
    <w:name w:val="样式115"/>
    <w:basedOn w:val="4"/>
    <w:qFormat/>
    <w:uiPriority w:val="0"/>
    <w:pPr>
      <w:spacing w:before="0" w:after="0" w:line="360" w:lineRule="auto"/>
      <w:jc w:val="center"/>
    </w:pPr>
  </w:style>
  <w:style w:type="paragraph" w:customStyle="1" w:styleId="87">
    <w:name w:val="样式118"/>
    <w:basedOn w:val="88"/>
    <w:qFormat/>
    <w:uiPriority w:val="0"/>
    <w:pPr>
      <w:spacing w:before="0" w:beforeAutospacing="0" w:after="0" w:afterAutospacing="0"/>
    </w:pPr>
  </w:style>
  <w:style w:type="paragraph" w:customStyle="1" w:styleId="88">
    <w:name w:val="样式117"/>
    <w:basedOn w:val="4"/>
    <w:qFormat/>
    <w:uiPriority w:val="0"/>
    <w:pPr>
      <w:spacing w:before="100" w:beforeAutospacing="1" w:after="100" w:afterAutospacing="1" w:line="360" w:lineRule="auto"/>
      <w:jc w:val="center"/>
    </w:pPr>
  </w:style>
  <w:style w:type="character" w:customStyle="1" w:styleId="89">
    <w:name w:val="layui-layer-tabnow"/>
    <w:basedOn w:val="29"/>
    <w:qFormat/>
    <w:uiPriority w:val="0"/>
    <w:rPr>
      <w:bdr w:val="single" w:color="CCCCCC" w:sz="4" w:space="0"/>
      <w:shd w:val="clear" w:color="auto" w:fill="FFFFFF"/>
    </w:rPr>
  </w:style>
  <w:style w:type="character" w:customStyle="1" w:styleId="90">
    <w:name w:val="first-child"/>
    <w:basedOn w:val="29"/>
    <w:qFormat/>
    <w:uiPriority w:val="0"/>
  </w:style>
  <w:style w:type="character" w:customStyle="1" w:styleId="91">
    <w:name w:val="hover39"/>
    <w:basedOn w:val="29"/>
    <w:qFormat/>
    <w:uiPriority w:val="0"/>
    <w:rPr>
      <w:color w:val="FFFFFF"/>
      <w:shd w:val="clear" w:color="auto" w:fill="1F80E6"/>
    </w:rPr>
  </w:style>
  <w:style w:type="character" w:customStyle="1" w:styleId="92">
    <w:name w:val="hover40"/>
    <w:basedOn w:val="29"/>
    <w:qFormat/>
    <w:uiPriority w:val="0"/>
    <w:rPr>
      <w:color w:val="FF0000"/>
    </w:rPr>
  </w:style>
  <w:style w:type="character" w:customStyle="1" w:styleId="93">
    <w:name w:val="hover41"/>
    <w:basedOn w:val="29"/>
    <w:qFormat/>
    <w:uiPriority w:val="0"/>
    <w:rPr>
      <w:color w:val="FFFFFF"/>
      <w:shd w:val="clear" w:color="auto" w:fill="1F80E6"/>
    </w:rPr>
  </w:style>
  <w:style w:type="character" w:customStyle="1" w:styleId="94">
    <w:name w:val="current"/>
    <w:basedOn w:val="29"/>
    <w:qFormat/>
    <w:uiPriority w:val="0"/>
    <w:rPr>
      <w:shd w:val="clear" w:color="auto" w:fill="1F80E6"/>
    </w:rPr>
  </w:style>
  <w:style w:type="character" w:customStyle="1" w:styleId="95">
    <w:name w:val="panel_title"/>
    <w:basedOn w:val="29"/>
    <w:qFormat/>
    <w:uiPriority w:val="0"/>
  </w:style>
  <w:style w:type="character" w:customStyle="1" w:styleId="96">
    <w:name w:val="infro_laiyuan"/>
    <w:basedOn w:val="29"/>
    <w:qFormat/>
    <w:uiPriority w:val="0"/>
    <w:rPr>
      <w:b/>
      <w:bCs/>
      <w:color w:val="0099CC"/>
    </w:rPr>
  </w:style>
  <w:style w:type="character" w:customStyle="1" w:styleId="97">
    <w:name w:val="active14"/>
    <w:basedOn w:val="29"/>
    <w:qFormat/>
    <w:uiPriority w:val="0"/>
    <w:rPr>
      <w:color w:val="FFFFFF"/>
      <w:shd w:val="clear" w:color="auto" w:fill="1F80E6"/>
    </w:rPr>
  </w:style>
  <w:style w:type="character" w:customStyle="1" w:styleId="98">
    <w:name w:val="active15"/>
    <w:basedOn w:val="29"/>
    <w:qFormat/>
    <w:uiPriority w:val="0"/>
    <w:rPr>
      <w:color w:val="FFFFFF"/>
      <w:shd w:val="clear" w:color="auto" w:fill="2B70B8"/>
    </w:rPr>
  </w:style>
  <w:style w:type="character" w:customStyle="1" w:styleId="99">
    <w:name w:val="today"/>
    <w:basedOn w:val="29"/>
    <w:qFormat/>
    <w:uiPriority w:val="0"/>
    <w:rPr>
      <w:color w:val="737373"/>
    </w:rPr>
  </w:style>
  <w:style w:type="character" w:customStyle="1" w:styleId="100">
    <w:name w:val="hover"/>
    <w:basedOn w:val="29"/>
    <w:qFormat/>
    <w:uiPriority w:val="0"/>
    <w:rPr>
      <w:color w:val="FF0000"/>
    </w:rPr>
  </w:style>
  <w:style w:type="character" w:customStyle="1" w:styleId="101">
    <w:name w:val="hover1"/>
    <w:basedOn w:val="29"/>
    <w:qFormat/>
    <w:uiPriority w:val="0"/>
    <w:rPr>
      <w:color w:val="FFFFFF"/>
      <w:shd w:val="clear" w:color="auto" w:fill="1F80E6"/>
    </w:rPr>
  </w:style>
  <w:style w:type="character" w:customStyle="1" w:styleId="102">
    <w:name w:val="hover2"/>
    <w:basedOn w:val="29"/>
    <w:qFormat/>
    <w:uiPriority w:val="0"/>
    <w:rPr>
      <w:color w:val="FFFFFF"/>
      <w:shd w:val="clear" w:color="auto" w:fill="1F80E6"/>
    </w:rPr>
  </w:style>
  <w:style w:type="character" w:customStyle="1" w:styleId="103">
    <w:name w:val="active9"/>
    <w:basedOn w:val="29"/>
    <w:qFormat/>
    <w:uiPriority w:val="0"/>
    <w:rPr>
      <w:color w:val="FFFFFF"/>
      <w:shd w:val="clear" w:color="auto" w:fill="2B70B8"/>
    </w:rPr>
  </w:style>
  <w:style w:type="character" w:customStyle="1" w:styleId="104">
    <w:name w:val="active10"/>
    <w:basedOn w:val="29"/>
    <w:qFormat/>
    <w:uiPriority w:val="0"/>
    <w:rPr>
      <w:color w:val="FFFFFF"/>
      <w:shd w:val="clear" w:color="auto" w:fill="1F80E6"/>
    </w:rPr>
  </w:style>
  <w:style w:type="character" w:customStyle="1" w:styleId="105">
    <w:name w:val="infro_laiyuan2"/>
    <w:basedOn w:val="29"/>
    <w:qFormat/>
    <w:uiPriority w:val="0"/>
    <w:rPr>
      <w:b/>
      <w:bCs/>
      <w:color w:val="0099CC"/>
    </w:rPr>
  </w:style>
  <w:style w:type="character" w:customStyle="1" w:styleId="106">
    <w:name w:val="active17"/>
    <w:basedOn w:val="29"/>
    <w:qFormat/>
    <w:uiPriority w:val="0"/>
    <w:rPr>
      <w:color w:val="FFFFFF"/>
      <w:shd w:val="clear" w:color="auto" w:fill="1F80E6"/>
    </w:rPr>
  </w:style>
  <w:style w:type="character" w:customStyle="1" w:styleId="107">
    <w:name w:val="active18"/>
    <w:basedOn w:val="29"/>
    <w:qFormat/>
    <w:uiPriority w:val="0"/>
    <w:rPr>
      <w:color w:val="FFFFFF"/>
      <w:shd w:val="clear" w:color="auto" w:fill="2B70B8"/>
    </w:rPr>
  </w:style>
  <w:style w:type="character" w:customStyle="1" w:styleId="108">
    <w:name w:val="hover38"/>
    <w:basedOn w:val="29"/>
    <w:qFormat/>
    <w:uiPriority w:val="0"/>
    <w:rPr>
      <w:color w:val="FFFFFF"/>
      <w:shd w:val="clear" w:color="auto" w:fill="1F80E6"/>
    </w:rPr>
  </w:style>
  <w:style w:type="character" w:customStyle="1" w:styleId="109">
    <w:name w:val="批注框文本 字符"/>
    <w:basedOn w:val="29"/>
    <w:link w:val="15"/>
    <w:qFormat/>
    <w:uiPriority w:val="0"/>
    <w:rPr>
      <w:rFonts w:ascii="Calibri" w:hAnsi="Calibri"/>
      <w:kern w:val="28"/>
      <w:sz w:val="18"/>
      <w:szCs w:val="18"/>
    </w:rPr>
  </w:style>
  <w:style w:type="paragraph" w:customStyle="1" w:styleId="110">
    <w:name w:val="Table Paragraph"/>
    <w:basedOn w:val="1"/>
    <w:qFormat/>
    <w:uiPriority w:val="1"/>
    <w:rPr>
      <w:rFonts w:ascii="宋体" w:hAnsi="宋体" w:cs="宋体"/>
      <w:lang w:val="zh-CN" w:bidi="zh-CN"/>
    </w:rPr>
  </w:style>
  <w:style w:type="character" w:customStyle="1" w:styleId="111">
    <w:name w:val="批注文字 字符"/>
    <w:basedOn w:val="29"/>
    <w:link w:val="8"/>
    <w:qFormat/>
    <w:uiPriority w:val="0"/>
    <w:rPr>
      <w:rFonts w:ascii="Calibri" w:hAnsi="Calibri"/>
      <w:kern w:val="28"/>
      <w:sz w:val="28"/>
    </w:rPr>
  </w:style>
  <w:style w:type="character" w:customStyle="1" w:styleId="112">
    <w:name w:val="批注主题 字符"/>
    <w:basedOn w:val="111"/>
    <w:link w:val="25"/>
    <w:qFormat/>
    <w:uiPriority w:val="0"/>
    <w:rPr>
      <w:rFonts w:ascii="Calibri" w:hAnsi="Calibri"/>
      <w:b/>
      <w:bCs/>
      <w:kern w:val="28"/>
      <w:sz w:val="28"/>
    </w:rPr>
  </w:style>
  <w:style w:type="paragraph" w:customStyle="1" w:styleId="113">
    <w:name w:val="修订1"/>
    <w:hidden/>
    <w:semiHidden/>
    <w:qFormat/>
    <w:uiPriority w:val="99"/>
    <w:rPr>
      <w:rFonts w:ascii="Calibri" w:hAnsi="Calibri" w:eastAsia="宋体" w:cs="Times New Roman"/>
      <w:kern w:val="28"/>
      <w:sz w:val="28"/>
      <w:lang w:val="en-US" w:eastAsia="zh-CN" w:bidi="ar-SA"/>
    </w:rPr>
  </w:style>
  <w:style w:type="character" w:customStyle="1" w:styleId="114">
    <w:name w:val="标题 5 字符"/>
    <w:basedOn w:val="29"/>
    <w:link w:val="6"/>
    <w:qFormat/>
    <w:uiPriority w:val="0"/>
    <w:rPr>
      <w:rFonts w:ascii="Calibri" w:hAnsi="Calibri"/>
      <w:b/>
      <w:bCs/>
      <w:kern w:val="28"/>
      <w:sz w:val="28"/>
      <w:szCs w:val="28"/>
    </w:rPr>
  </w:style>
  <w:style w:type="paragraph" w:customStyle="1" w:styleId="115">
    <w:name w:val="修订2"/>
    <w:hidden/>
    <w:semiHidden/>
    <w:qFormat/>
    <w:uiPriority w:val="99"/>
    <w:rPr>
      <w:rFonts w:ascii="Calibri" w:hAnsi="Calibri" w:eastAsia="宋体" w:cs="Times New Roman"/>
      <w:kern w:val="28"/>
      <w:sz w:val="28"/>
      <w:lang w:val="en-US" w:eastAsia="zh-CN" w:bidi="ar-SA"/>
    </w:rPr>
  </w:style>
  <w:style w:type="paragraph" w:customStyle="1" w:styleId="116">
    <w:name w:val="修订3"/>
    <w:hidden/>
    <w:semiHidden/>
    <w:qFormat/>
    <w:uiPriority w:val="99"/>
    <w:rPr>
      <w:rFonts w:ascii="Calibri" w:hAnsi="Calibri" w:eastAsia="宋体" w:cs="Times New Roman"/>
      <w:kern w:val="28"/>
      <w:sz w:val="28"/>
      <w:lang w:val="en-US" w:eastAsia="zh-CN" w:bidi="ar-SA"/>
    </w:rPr>
  </w:style>
  <w:style w:type="character" w:customStyle="1" w:styleId="117">
    <w:name w:val="纯文本 字符"/>
    <w:basedOn w:val="29"/>
    <w:link w:val="14"/>
    <w:qFormat/>
    <w:uiPriority w:val="0"/>
    <w:rPr>
      <w:rFonts w:ascii="宋体" w:hAnsi="Courier New"/>
      <w:kern w:val="2"/>
      <w:sz w:val="21"/>
    </w:rPr>
  </w:style>
  <w:style w:type="paragraph" w:customStyle="1" w:styleId="118">
    <w:name w:val="修订4"/>
    <w:hidden/>
    <w:semiHidden/>
    <w:qFormat/>
    <w:uiPriority w:val="99"/>
    <w:rPr>
      <w:rFonts w:ascii="Calibri" w:hAnsi="Calibri" w:eastAsia="宋体" w:cs="Times New Roman"/>
      <w:kern w:val="28"/>
      <w:sz w:val="28"/>
      <w:lang w:val="en-US" w:eastAsia="zh-CN" w:bidi="ar-SA"/>
    </w:rPr>
  </w:style>
  <w:style w:type="character" w:customStyle="1" w:styleId="119">
    <w:name w:val="页脚 字符"/>
    <w:basedOn w:val="29"/>
    <w:link w:val="16"/>
    <w:qFormat/>
    <w:uiPriority w:val="99"/>
    <w:rPr>
      <w:rFonts w:ascii="Calibri" w:hAnsi="Calibri"/>
      <w:kern w:val="28"/>
      <w:sz w:val="18"/>
      <w:szCs w:val="18"/>
    </w:rPr>
  </w:style>
  <w:style w:type="paragraph" w:customStyle="1" w:styleId="120">
    <w:name w:val="修订5"/>
    <w:hidden/>
    <w:semiHidden/>
    <w:qFormat/>
    <w:uiPriority w:val="99"/>
    <w:rPr>
      <w:rFonts w:ascii="Calibri" w:hAnsi="Calibri" w:eastAsia="宋体" w:cs="Times New Roman"/>
      <w:kern w:val="28"/>
      <w:sz w:val="28"/>
      <w:lang w:val="en-US" w:eastAsia="zh-CN" w:bidi="ar-SA"/>
    </w:rPr>
  </w:style>
  <w:style w:type="paragraph" w:customStyle="1" w:styleId="121">
    <w:name w:val="Revision"/>
    <w:hidden/>
    <w:semiHidden/>
    <w:qFormat/>
    <w:uiPriority w:val="99"/>
    <w:rPr>
      <w:rFonts w:ascii="Calibri" w:hAnsi="Calibri" w:eastAsia="宋体" w:cs="Times New Roman"/>
      <w:kern w:val="28"/>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9824-B849-44E6-B05B-55A0CDAD7F0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8058</Words>
  <Characters>8614</Characters>
  <Lines>534</Lines>
  <Paragraphs>150</Paragraphs>
  <TotalTime>16</TotalTime>
  <ScaleCrop>false</ScaleCrop>
  <LinksUpToDate>false</LinksUpToDate>
  <CharactersWithSpaces>8669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2022-09-07T13:00:00Z</dcterms:created>
  <dc:creator>Administrator</dc:creator>
  <cp:lastModifiedBy>招标管理办公室</cp:lastModifiedBy>
  <dcterms:modified xsi:type="dcterms:W3CDTF">2022-09-09T02:02:24Z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39FE7ABC8C0248F6BC8EE1072D8BFC7B</vt:lpwstr>
  </property>
</Properties>
</file>