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sz w:val="28"/>
          <w:szCs w:val="28"/>
          <w:highlight w:val="none"/>
        </w:rPr>
      </w:pPr>
      <w:r>
        <w:rPr>
          <w:rFonts w:hint="eastAsia" w:ascii="宋体" w:hAnsi="宋体" w:cs="宋体"/>
          <w:b/>
          <w:sz w:val="28"/>
          <w:szCs w:val="28"/>
          <w:highlight w:val="none"/>
        </w:rPr>
        <w:t>附件1：资格审查条件</w:t>
      </w:r>
    </w:p>
    <w:p>
      <w:pPr>
        <w:rPr>
          <w:rFonts w:hint="eastAsia" w:ascii="宋体" w:hAnsi="宋体" w:cs="宋体"/>
          <w:b/>
          <w:sz w:val="28"/>
          <w:szCs w:val="28"/>
          <w:highlight w:val="none"/>
        </w:rPr>
      </w:pPr>
    </w:p>
    <w:p>
      <w:pPr>
        <w:jc w:val="center"/>
        <w:rPr>
          <w:rFonts w:ascii="宋体" w:hAnsi="宋体" w:cs="宋体"/>
          <w:b/>
          <w:sz w:val="24"/>
          <w:highlight w:val="none"/>
        </w:rPr>
      </w:pPr>
      <w:r>
        <w:rPr>
          <w:rFonts w:hint="eastAsia" w:ascii="宋体" w:hAnsi="宋体" w:cs="宋体"/>
          <w:b/>
          <w:sz w:val="24"/>
          <w:highlight w:val="none"/>
        </w:rPr>
        <w:t>附录1 资格审查条件（资质最低要求）</w:t>
      </w:r>
    </w:p>
    <w:tbl>
      <w:tblPr>
        <w:tblStyle w:val="5"/>
        <w:tblpPr w:leftFromText="181" w:rightFromText="181" w:vertAnchor="text" w:horzAnchor="margin" w:tblpXSpec="center" w:tblpY="30"/>
        <w:tblW w:w="924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1503"/>
        <w:gridCol w:w="77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42" w:hRule="atLeast"/>
          <w:tblHeader/>
        </w:trPr>
        <w:tc>
          <w:tcPr>
            <w:tcW w:w="1503" w:type="dxa"/>
            <w:noWrap w:val="0"/>
            <w:vAlign w:val="center"/>
          </w:tcPr>
          <w:p>
            <w:pPr>
              <w:adjustRightInd w:val="0"/>
              <w:snapToGrid w:val="0"/>
              <w:jc w:val="center"/>
              <w:rPr>
                <w:rFonts w:hint="eastAsia" w:ascii="宋体" w:hAnsi="宋体" w:cs="宋体"/>
                <w:b/>
                <w:bCs/>
                <w:szCs w:val="21"/>
                <w:highlight w:val="none"/>
              </w:rPr>
            </w:pPr>
            <w:r>
              <w:rPr>
                <w:rFonts w:hint="eastAsia" w:ascii="宋体" w:hAnsi="宋体" w:cs="宋体"/>
                <w:b/>
                <w:bCs/>
                <w:szCs w:val="21"/>
                <w:highlight w:val="none"/>
              </w:rPr>
              <w:t>投标人身份</w:t>
            </w:r>
          </w:p>
        </w:tc>
        <w:tc>
          <w:tcPr>
            <w:tcW w:w="7746" w:type="dxa"/>
            <w:noWrap w:val="0"/>
            <w:vAlign w:val="center"/>
          </w:tcPr>
          <w:p>
            <w:pPr>
              <w:adjustRightInd w:val="0"/>
              <w:snapToGrid w:val="0"/>
              <w:jc w:val="center"/>
              <w:rPr>
                <w:rFonts w:hint="eastAsia" w:ascii="宋体" w:hAnsi="宋体" w:cs="宋体"/>
                <w:b/>
                <w:bCs/>
                <w:szCs w:val="21"/>
                <w:highlight w:val="none"/>
              </w:rPr>
            </w:pPr>
            <w:r>
              <w:rPr>
                <w:rFonts w:hint="eastAsia" w:ascii="宋体" w:hAnsi="宋体" w:cs="宋体"/>
                <w:b/>
                <w:bCs/>
                <w:szCs w:val="21"/>
                <w:highlight w:val="none"/>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21" w:hRule="atLeast"/>
        </w:trPr>
        <w:tc>
          <w:tcPr>
            <w:tcW w:w="1503" w:type="dxa"/>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制造商</w:t>
            </w:r>
          </w:p>
        </w:tc>
        <w:tc>
          <w:tcPr>
            <w:tcW w:w="7746" w:type="dxa"/>
            <w:noWrap w:val="0"/>
            <w:vAlign w:val="center"/>
          </w:tcPr>
          <w:p>
            <w:pPr>
              <w:adjustRightInd w:val="0"/>
              <w:snapToGrid w:val="0"/>
              <w:spacing w:line="400" w:lineRule="exact"/>
              <w:rPr>
                <w:rFonts w:hint="eastAsia" w:ascii="宋体" w:hAnsi="宋体" w:cs="宋体"/>
                <w:highlight w:val="none"/>
              </w:rPr>
            </w:pPr>
            <w:r>
              <w:rPr>
                <w:rFonts w:hint="eastAsia" w:ascii="宋体" w:hAnsi="宋体" w:cs="宋体"/>
                <w:highlight w:val="none"/>
              </w:rPr>
              <w:t>具有独立法人资格，</w:t>
            </w:r>
            <w:r>
              <w:rPr>
                <w:rFonts w:hint="eastAsia" w:ascii="宋体" w:hAnsi="宋体" w:cs="宋体"/>
                <w:iCs/>
                <w:szCs w:val="21"/>
                <w:highlight w:val="none"/>
              </w:rPr>
              <w:t xml:space="preserve">持有有效的营业执照。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212" w:hRule="atLeast"/>
        </w:trPr>
        <w:tc>
          <w:tcPr>
            <w:tcW w:w="1503" w:type="dxa"/>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代理商</w:t>
            </w:r>
          </w:p>
        </w:tc>
        <w:tc>
          <w:tcPr>
            <w:tcW w:w="7746" w:type="dxa"/>
            <w:noWrap w:val="0"/>
            <w:vAlign w:val="center"/>
          </w:tcPr>
          <w:p>
            <w:pPr>
              <w:adjustRightInd w:val="0"/>
              <w:snapToGrid w:val="0"/>
              <w:spacing w:line="400" w:lineRule="exact"/>
              <w:rPr>
                <w:rFonts w:hint="eastAsia" w:ascii="宋体" w:hAnsi="宋体" w:cs="宋体"/>
                <w:highlight w:val="none"/>
              </w:rPr>
            </w:pPr>
            <w:r>
              <w:rPr>
                <w:rFonts w:hint="eastAsia" w:ascii="宋体" w:hAnsi="宋体" w:cs="宋体"/>
                <w:highlight w:val="none"/>
              </w:rPr>
              <w:t>具有独立法人资格，</w:t>
            </w:r>
            <w:r>
              <w:rPr>
                <w:rFonts w:hint="eastAsia" w:ascii="宋体" w:hAnsi="宋体" w:cs="宋体"/>
                <w:iCs/>
                <w:szCs w:val="21"/>
                <w:highlight w:val="none"/>
              </w:rPr>
              <w:t>持有有效的营业执照。具有</w:t>
            </w:r>
            <w:r>
              <w:rPr>
                <w:rFonts w:hint="eastAsia" w:ascii="宋体" w:hAnsi="宋体" w:cs="宋体"/>
                <w:szCs w:val="21"/>
                <w:highlight w:val="none"/>
              </w:rPr>
              <w:t>制造商针对所投品牌设备出具的授权书。且</w:t>
            </w:r>
            <w:r>
              <w:rPr>
                <w:rFonts w:hint="eastAsia" w:ascii="宋体" w:hAnsi="宋体" w:cs="宋体"/>
                <w:kern w:val="21"/>
                <w:szCs w:val="21"/>
                <w:highlight w:val="none"/>
              </w:rPr>
              <w:t>其代理的制造商必须满足对上述投标人为制造商的资质要求。</w:t>
            </w:r>
          </w:p>
        </w:tc>
      </w:tr>
    </w:tbl>
    <w:p>
      <w:pPr>
        <w:jc w:val="center"/>
        <w:rPr>
          <w:rFonts w:hint="eastAsia" w:ascii="宋体" w:hAnsi="宋体" w:cs="宋体"/>
          <w:b/>
          <w:sz w:val="24"/>
          <w:highlight w:val="none"/>
        </w:rPr>
      </w:pPr>
    </w:p>
    <w:p>
      <w:pPr>
        <w:jc w:val="center"/>
        <w:rPr>
          <w:rFonts w:hint="eastAsia" w:ascii="宋体" w:hAnsi="宋体" w:cs="宋体"/>
          <w:b/>
          <w:sz w:val="24"/>
          <w:highlight w:val="none"/>
        </w:rPr>
      </w:pPr>
    </w:p>
    <w:p>
      <w:pPr>
        <w:jc w:val="center"/>
        <w:rPr>
          <w:rFonts w:hint="eastAsia" w:ascii="宋体" w:hAnsi="宋体" w:cs="宋体"/>
          <w:b/>
          <w:sz w:val="24"/>
          <w:highlight w:val="none"/>
        </w:rPr>
      </w:pPr>
      <w:r>
        <w:rPr>
          <w:rFonts w:hint="eastAsia" w:ascii="宋体" w:hAnsi="宋体" w:cs="宋体"/>
          <w:b/>
          <w:sz w:val="24"/>
          <w:highlight w:val="none"/>
        </w:rPr>
        <w:t>附录2 资格审查条件（业绩最低要求）</w:t>
      </w:r>
    </w:p>
    <w:tbl>
      <w:tblPr>
        <w:tblStyle w:val="5"/>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3"/>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993" w:type="dxa"/>
            <w:noWrap w:val="0"/>
            <w:vAlign w:val="center"/>
          </w:tcPr>
          <w:p>
            <w:pPr>
              <w:adjustRightInd w:val="0"/>
              <w:snapToGrid w:val="0"/>
              <w:jc w:val="center"/>
              <w:rPr>
                <w:rFonts w:hint="eastAsia" w:ascii="宋体" w:hAnsi="宋体" w:cs="宋体"/>
                <w:b/>
                <w:szCs w:val="21"/>
                <w:highlight w:val="none"/>
                <w:shd w:val="clear" w:color="auto" w:fill="FFFFFF"/>
              </w:rPr>
            </w:pPr>
            <w:r>
              <w:rPr>
                <w:rFonts w:hint="eastAsia" w:ascii="宋体" w:hAnsi="宋体" w:cs="宋体"/>
                <w:b/>
                <w:szCs w:val="21"/>
                <w:highlight w:val="none"/>
                <w:shd w:val="clear" w:color="auto" w:fill="FFFFFF"/>
              </w:rPr>
              <w:t>标段</w:t>
            </w:r>
          </w:p>
        </w:tc>
        <w:tc>
          <w:tcPr>
            <w:tcW w:w="8363" w:type="dxa"/>
            <w:noWrap w:val="0"/>
            <w:vAlign w:val="center"/>
          </w:tcPr>
          <w:p>
            <w:pPr>
              <w:wordWrap w:val="0"/>
              <w:adjustRightInd w:val="0"/>
              <w:snapToGrid w:val="0"/>
              <w:jc w:val="center"/>
              <w:rPr>
                <w:rFonts w:hint="eastAsia" w:ascii="宋体" w:hAnsi="宋体" w:cs="宋体"/>
                <w:b/>
                <w:szCs w:val="21"/>
                <w:highlight w:val="none"/>
                <w:shd w:val="clear" w:color="auto" w:fill="FFFFFF"/>
              </w:rPr>
            </w:pPr>
            <w:r>
              <w:rPr>
                <w:rFonts w:hint="eastAsia" w:ascii="宋体" w:hAnsi="宋体" w:cs="宋体"/>
                <w:b/>
                <w:szCs w:val="21"/>
                <w:highlight w:val="none"/>
                <w:shd w:val="clear" w:color="auto" w:fill="FFFFFF"/>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993"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1标段</w:t>
            </w:r>
          </w:p>
        </w:tc>
        <w:tc>
          <w:tcPr>
            <w:tcW w:w="8363" w:type="dxa"/>
            <w:noWrap w:val="0"/>
            <w:vAlign w:val="center"/>
          </w:tcPr>
          <w:p>
            <w:pPr>
              <w:adjustRightInd w:val="0"/>
              <w:snapToGrid w:val="0"/>
              <w:spacing w:line="288" w:lineRule="auto"/>
              <w:ind w:firstLine="77" w:firstLineChars="37"/>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近3年内(2020年</w:t>
            </w:r>
            <w:r>
              <w:rPr>
                <w:rFonts w:hint="eastAsia" w:ascii="宋体" w:hAnsi="宋体" w:cs="宋体"/>
                <w:szCs w:val="21"/>
                <w:highlight w:val="none"/>
                <w:shd w:val="clear" w:color="auto" w:fill="FFFFFF"/>
                <w:lang w:eastAsia="zh-CN"/>
              </w:rPr>
              <w:t>11月1日</w:t>
            </w:r>
            <w:r>
              <w:rPr>
                <w:rFonts w:hint="eastAsia" w:ascii="宋体" w:hAnsi="宋体" w:cs="宋体"/>
                <w:szCs w:val="21"/>
                <w:highlight w:val="none"/>
                <w:shd w:val="clear" w:color="auto" w:fill="FFFFFF"/>
              </w:rPr>
              <w:t>至今，以合同签订时间为准)至少有5辆所投品牌清障车的供货业绩。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9" w:hRule="atLeast"/>
          <w:jc w:val="center"/>
        </w:trPr>
        <w:tc>
          <w:tcPr>
            <w:tcW w:w="993"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2标段</w:t>
            </w:r>
          </w:p>
        </w:tc>
        <w:tc>
          <w:tcPr>
            <w:tcW w:w="8363" w:type="dxa"/>
            <w:noWrap w:val="0"/>
            <w:vAlign w:val="center"/>
          </w:tcPr>
          <w:p>
            <w:pPr>
              <w:adjustRightInd w:val="0"/>
              <w:snapToGrid w:val="0"/>
              <w:spacing w:line="288" w:lineRule="auto"/>
              <w:ind w:firstLine="77" w:firstLineChars="37"/>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1、近3年内(2020年</w:t>
            </w:r>
            <w:r>
              <w:rPr>
                <w:rFonts w:hint="eastAsia" w:ascii="宋体" w:hAnsi="宋体" w:cs="宋体"/>
                <w:szCs w:val="21"/>
                <w:highlight w:val="none"/>
                <w:shd w:val="clear" w:color="auto" w:fill="FFFFFF"/>
                <w:lang w:eastAsia="zh-CN"/>
              </w:rPr>
              <w:t>11月1日</w:t>
            </w:r>
            <w:r>
              <w:rPr>
                <w:rFonts w:hint="eastAsia" w:ascii="宋体" w:hAnsi="宋体" w:cs="宋体"/>
                <w:szCs w:val="21"/>
                <w:highlight w:val="none"/>
                <w:shd w:val="clear" w:color="auto" w:fill="FFFFFF"/>
              </w:rPr>
              <w:t>至今，以合同签订时间为准)至少有5辆所投品牌</w:t>
            </w:r>
            <w:r>
              <w:rPr>
                <w:rFonts w:hint="eastAsia" w:ascii="宋体" w:hAnsi="宋体" w:cs="宋体"/>
                <w:szCs w:val="21"/>
                <w:highlight w:val="none"/>
              </w:rPr>
              <w:t>仓栅式运输车</w:t>
            </w:r>
            <w:r>
              <w:rPr>
                <w:rFonts w:hint="eastAsia" w:ascii="宋体" w:hAnsi="宋体" w:cs="宋体"/>
                <w:szCs w:val="21"/>
                <w:highlight w:val="none"/>
                <w:shd w:val="clear" w:color="auto" w:fill="FFFFFF"/>
              </w:rPr>
              <w:t>的供货业绩。</w:t>
            </w:r>
          </w:p>
          <w:p>
            <w:pPr>
              <w:adjustRightInd w:val="0"/>
              <w:snapToGrid w:val="0"/>
              <w:spacing w:line="288" w:lineRule="auto"/>
              <w:ind w:firstLine="77" w:firstLineChars="37"/>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2、近3年内(2020年</w:t>
            </w:r>
            <w:r>
              <w:rPr>
                <w:rFonts w:hint="eastAsia" w:ascii="宋体" w:hAnsi="宋体" w:cs="宋体"/>
                <w:szCs w:val="21"/>
                <w:highlight w:val="none"/>
                <w:shd w:val="clear" w:color="auto" w:fill="FFFFFF"/>
                <w:lang w:eastAsia="zh-CN"/>
              </w:rPr>
              <w:t>11月1日</w:t>
            </w:r>
            <w:r>
              <w:rPr>
                <w:rFonts w:hint="eastAsia" w:ascii="宋体" w:hAnsi="宋体" w:cs="宋体"/>
                <w:szCs w:val="21"/>
                <w:highlight w:val="none"/>
                <w:shd w:val="clear" w:color="auto" w:fill="FFFFFF"/>
              </w:rPr>
              <w:t>至今，以合同签订时间为准)至少有5辆所投品牌皮卡车的供货业绩。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jc w:val="center"/>
        </w:trPr>
        <w:tc>
          <w:tcPr>
            <w:tcW w:w="993"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3标段</w:t>
            </w:r>
          </w:p>
        </w:tc>
        <w:tc>
          <w:tcPr>
            <w:tcW w:w="8363" w:type="dxa"/>
            <w:noWrap w:val="0"/>
            <w:vAlign w:val="center"/>
          </w:tcPr>
          <w:p>
            <w:pPr>
              <w:adjustRightInd w:val="0"/>
              <w:snapToGrid w:val="0"/>
              <w:spacing w:line="288" w:lineRule="auto"/>
              <w:ind w:firstLine="77" w:firstLineChars="37"/>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1、近3年内(2020年</w:t>
            </w:r>
            <w:r>
              <w:rPr>
                <w:rFonts w:hint="eastAsia" w:ascii="宋体" w:hAnsi="宋体" w:cs="宋体"/>
                <w:szCs w:val="21"/>
                <w:highlight w:val="none"/>
                <w:shd w:val="clear" w:color="auto" w:fill="FFFFFF"/>
                <w:lang w:eastAsia="zh-CN"/>
              </w:rPr>
              <w:t>11月1日</w:t>
            </w:r>
            <w:r>
              <w:rPr>
                <w:rFonts w:hint="eastAsia" w:ascii="宋体" w:hAnsi="宋体" w:cs="宋体"/>
                <w:szCs w:val="21"/>
                <w:highlight w:val="none"/>
                <w:shd w:val="clear" w:color="auto" w:fill="FFFFFF"/>
              </w:rPr>
              <w:t>至今，以合同签订时间为准)至少有5辆所投品牌叉车的供货业绩。</w:t>
            </w:r>
          </w:p>
          <w:p>
            <w:pPr>
              <w:adjustRightInd w:val="0"/>
              <w:snapToGrid w:val="0"/>
              <w:spacing w:line="288" w:lineRule="auto"/>
              <w:ind w:firstLine="77" w:firstLineChars="37"/>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2、近3年内(2020年</w:t>
            </w:r>
            <w:r>
              <w:rPr>
                <w:rFonts w:hint="eastAsia" w:ascii="宋体" w:hAnsi="宋体" w:cs="宋体"/>
                <w:szCs w:val="21"/>
                <w:highlight w:val="none"/>
                <w:shd w:val="clear" w:color="auto" w:fill="FFFFFF"/>
                <w:lang w:eastAsia="zh-CN"/>
              </w:rPr>
              <w:t>11月1日</w:t>
            </w:r>
            <w:r>
              <w:rPr>
                <w:rFonts w:hint="eastAsia" w:ascii="宋体" w:hAnsi="宋体" w:cs="宋体"/>
                <w:szCs w:val="21"/>
                <w:highlight w:val="none"/>
                <w:shd w:val="clear" w:color="auto" w:fill="FFFFFF"/>
              </w:rPr>
              <w:t>至今，以合同签订时间为准)至少有5辆所投品牌轮式装载机的供货业绩。</w:t>
            </w:r>
          </w:p>
        </w:tc>
      </w:tr>
    </w:tbl>
    <w:p>
      <w:pPr>
        <w:spacing w:line="288" w:lineRule="auto"/>
        <w:ind w:firstLine="420" w:firstLineChars="200"/>
        <w:rPr>
          <w:rFonts w:hint="eastAsia" w:ascii="宋体" w:hAnsi="宋体" w:cs="宋体"/>
          <w:szCs w:val="21"/>
          <w:highlight w:val="none"/>
        </w:rPr>
      </w:pPr>
      <w:r>
        <w:rPr>
          <w:rFonts w:hint="eastAsia" w:ascii="宋体" w:hAnsi="宋体" w:cs="宋体"/>
          <w:szCs w:val="21"/>
          <w:highlight w:val="none"/>
        </w:rPr>
        <w:t>注：代理商和制造商的业绩可互用，</w:t>
      </w:r>
      <w:r>
        <w:rPr>
          <w:rFonts w:hint="eastAsia" w:ascii="宋体" w:hAnsi="宋体" w:cs="宋体"/>
          <w:highlight w:val="none"/>
        </w:rPr>
        <w:t>不包括制造商与代理商签订的合同业绩。</w:t>
      </w:r>
    </w:p>
    <w:p>
      <w:pPr>
        <w:jc w:val="center"/>
        <w:rPr>
          <w:rFonts w:hint="eastAsia" w:ascii="宋体" w:hAnsi="宋体" w:cs="宋体"/>
          <w:b/>
          <w:sz w:val="24"/>
          <w:highlight w:val="none"/>
        </w:rPr>
      </w:pPr>
    </w:p>
    <w:p>
      <w:pPr>
        <w:jc w:val="center"/>
        <w:rPr>
          <w:rFonts w:hint="eastAsia" w:ascii="宋体" w:hAnsi="宋体" w:cs="宋体"/>
          <w:b/>
          <w:sz w:val="24"/>
          <w:highlight w:val="none"/>
        </w:rPr>
      </w:pPr>
    </w:p>
    <w:p>
      <w:pPr>
        <w:jc w:val="center"/>
        <w:rPr>
          <w:rFonts w:hint="eastAsia" w:ascii="宋体" w:hAnsi="宋体" w:cs="宋体"/>
          <w:highlight w:val="none"/>
        </w:rPr>
      </w:pPr>
      <w:r>
        <w:rPr>
          <w:rFonts w:hint="eastAsia" w:ascii="宋体" w:hAnsi="宋体" w:cs="宋体"/>
          <w:b/>
          <w:sz w:val="24"/>
          <w:highlight w:val="none"/>
        </w:rPr>
        <w:t>附录3  资格审查条件（信誉最低要求）</w:t>
      </w:r>
    </w:p>
    <w:tbl>
      <w:tblPr>
        <w:tblStyle w:val="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9368" w:type="dxa"/>
            <w:noWrap w:val="0"/>
            <w:vAlign w:val="center"/>
          </w:tcPr>
          <w:p>
            <w:pPr>
              <w:adjustRightInd w:val="0"/>
              <w:snapToGrid w:val="0"/>
              <w:jc w:val="center"/>
              <w:rPr>
                <w:rFonts w:hint="eastAsia" w:ascii="宋体" w:hAnsi="宋体" w:cs="宋体"/>
                <w:b/>
                <w:szCs w:val="21"/>
                <w:highlight w:val="none"/>
              </w:rPr>
            </w:pPr>
            <w:r>
              <w:rPr>
                <w:rFonts w:hint="eastAsia" w:ascii="宋体" w:hAnsi="宋体" w:cs="宋体"/>
                <w:b/>
                <w:szCs w:val="21"/>
                <w:highlight w:val="none"/>
              </w:rPr>
              <w:t>信誉要求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71" w:hRule="atLeast"/>
          <w:jc w:val="center"/>
        </w:trPr>
        <w:tc>
          <w:tcPr>
            <w:tcW w:w="9368" w:type="dxa"/>
            <w:noWrap w:val="0"/>
            <w:vAlign w:val="center"/>
          </w:tcPr>
          <w:p>
            <w:pPr>
              <w:ind w:firstLine="420" w:firstLineChars="200"/>
              <w:rPr>
                <w:rFonts w:hint="eastAsia" w:ascii="宋体" w:hAnsi="宋体" w:cs="宋体"/>
                <w:highlight w:val="none"/>
              </w:rPr>
            </w:pPr>
            <w:r>
              <w:rPr>
                <w:rFonts w:hint="eastAsia" w:ascii="宋体" w:hAnsi="宋体" w:cs="宋体"/>
                <w:highlight w:val="none"/>
              </w:rPr>
              <w:t>投标人在过去1年中（2022年</w:t>
            </w:r>
            <w:r>
              <w:rPr>
                <w:rFonts w:hint="eastAsia" w:ascii="宋体" w:hAnsi="宋体" w:cs="宋体"/>
                <w:highlight w:val="none"/>
                <w:lang w:eastAsia="zh-CN"/>
              </w:rPr>
              <w:t>11月1日</w:t>
            </w:r>
            <w:r>
              <w:rPr>
                <w:rFonts w:hint="eastAsia" w:ascii="宋体" w:hAnsi="宋体" w:cs="宋体"/>
                <w:szCs w:val="21"/>
                <w:highlight w:val="none"/>
                <w:shd w:val="clear" w:color="auto" w:fill="FFFFFF"/>
              </w:rPr>
              <w:t>至今</w:t>
            </w:r>
            <w:r>
              <w:rPr>
                <w:rFonts w:hint="eastAsia" w:ascii="宋体" w:hAnsi="宋体" w:cs="宋体"/>
                <w:highlight w:val="none"/>
              </w:rPr>
              <w:t>）不曾在设备供货合同中违约而被驱逐或因投标人自身的原因而使设备供货合同被解除。</w:t>
            </w:r>
          </w:p>
        </w:tc>
      </w:tr>
    </w:tbl>
    <w:p>
      <w:pPr>
        <w:pStyle w:val="2"/>
        <w:wordWrap w:val="0"/>
        <w:spacing w:before="0" w:beforeLines="0" w:line="360" w:lineRule="auto"/>
        <w:rPr>
          <w:rFonts w:hint="eastAsia" w:ascii="宋体" w:hAnsi="宋体" w:cs="宋体"/>
          <w:spacing w:val="1"/>
          <w:kern w:val="0"/>
          <w:sz w:val="28"/>
          <w:szCs w:val="28"/>
          <w:highlight w:val="none"/>
        </w:rPr>
      </w:pPr>
      <w:r>
        <w:rPr>
          <w:rFonts w:hint="eastAsia" w:ascii="宋体" w:hAnsi="宋体" w:cs="宋体"/>
          <w:highlight w:val="none"/>
        </w:rPr>
        <w:br w:type="page"/>
      </w:r>
      <w:r>
        <w:rPr>
          <w:rFonts w:hint="eastAsia" w:ascii="宋体" w:hAnsi="宋体" w:cs="宋体"/>
          <w:spacing w:val="2"/>
          <w:kern w:val="0"/>
          <w:sz w:val="24"/>
          <w:szCs w:val="24"/>
          <w:highlight w:val="none"/>
        </w:rPr>
        <w:t>评标办法前附表</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3"/>
        <w:gridCol w:w="1092"/>
        <w:gridCol w:w="2088"/>
        <w:gridCol w:w="52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highlight w:val="none"/>
              </w:rPr>
            </w:pPr>
            <w:r>
              <w:rPr>
                <w:rFonts w:hint="eastAsia" w:ascii="宋体" w:hAnsi="宋体" w:cs="宋体"/>
                <w:b/>
                <w:szCs w:val="21"/>
                <w:highlight w:val="none"/>
              </w:rPr>
              <w:t>条款号</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highlight w:val="none"/>
              </w:rPr>
            </w:pPr>
            <w:r>
              <w:rPr>
                <w:rFonts w:hint="eastAsia" w:ascii="宋体" w:hAnsi="宋体" w:cs="宋体"/>
                <w:b/>
                <w:szCs w:val="21"/>
                <w:highlight w:val="none"/>
              </w:rPr>
              <w:t>评审因素</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highlight w:val="none"/>
              </w:rPr>
            </w:pPr>
            <w:r>
              <w:rPr>
                <w:rFonts w:hint="eastAsia" w:ascii="宋体" w:hAnsi="宋体" w:cs="宋体"/>
                <w:b/>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1</w:t>
            </w:r>
          </w:p>
        </w:tc>
        <w:tc>
          <w:tcPr>
            <w:tcW w:w="588" w:type="pc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评标方法</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中标候选人排序方法</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szCs w:val="21"/>
                <w:highlight w:val="none"/>
              </w:rPr>
            </w:pPr>
            <w:r>
              <w:rPr>
                <w:rFonts w:hint="eastAsia" w:ascii="宋体" w:hAnsi="宋体" w:cs="宋体"/>
                <w:szCs w:val="21"/>
                <w:highlight w:val="none"/>
              </w:rPr>
              <w:t>本次评标采用综合评估法。评标委员会对满足招标文件实质性要求的投标文件，按照本评标办法第2.2款规定的评分标准进行打分，并按得分由高到低顺序推荐1-3名中标候选人。综合评分相等时，评标委员会依次按照以下优先顺序推荐中标候选人：</w:t>
            </w:r>
          </w:p>
          <w:p>
            <w:pPr>
              <w:spacing w:line="360" w:lineRule="exact"/>
              <w:jc w:val="left"/>
              <w:rPr>
                <w:rFonts w:hint="eastAsia" w:ascii="宋体" w:hAnsi="宋体" w:cs="宋体"/>
                <w:szCs w:val="21"/>
                <w:highlight w:val="none"/>
              </w:rPr>
            </w:pPr>
            <w:r>
              <w:rPr>
                <w:rFonts w:hint="eastAsia" w:ascii="宋体" w:hAnsi="宋体" w:cs="宋体"/>
                <w:szCs w:val="21"/>
                <w:highlight w:val="none"/>
              </w:rPr>
              <w:t>（1）评标价低的投标人优先；</w:t>
            </w:r>
          </w:p>
          <w:p>
            <w:pPr>
              <w:spacing w:line="360" w:lineRule="exact"/>
              <w:jc w:val="left"/>
              <w:rPr>
                <w:rFonts w:hint="eastAsia" w:ascii="宋体" w:hAnsi="宋体" w:cs="宋体"/>
                <w:szCs w:val="21"/>
                <w:highlight w:val="none"/>
              </w:rPr>
            </w:pPr>
            <w:r>
              <w:rPr>
                <w:rFonts w:hint="eastAsia" w:ascii="宋体" w:hAnsi="宋体" w:cs="宋体"/>
                <w:szCs w:val="21"/>
                <w:highlight w:val="none"/>
              </w:rPr>
              <w:t>（2）技术部分得分高的优先。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restart"/>
            <w:tcBorders>
              <w:top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2.1.1</w:t>
            </w:r>
          </w:p>
        </w:tc>
        <w:tc>
          <w:tcPr>
            <w:tcW w:w="588" w:type="pct"/>
            <w:vMerge w:val="restart"/>
            <w:tcBorders>
              <w:top w:val="single" w:color="auto" w:sz="4" w:space="0"/>
              <w:right w:val="single" w:color="auto" w:sz="4" w:space="0"/>
            </w:tcBorders>
            <w:noWrap w:val="0"/>
            <w:vAlign w:val="center"/>
          </w:tcPr>
          <w:p>
            <w:pPr>
              <w:spacing w:line="0" w:lineRule="atLeast"/>
              <w:ind w:left="-109" w:leftChars="-52"/>
              <w:jc w:val="center"/>
              <w:rPr>
                <w:rFonts w:hint="eastAsia" w:ascii="宋体" w:hAnsi="宋体" w:cs="宋体"/>
                <w:szCs w:val="21"/>
                <w:highlight w:val="none"/>
              </w:rPr>
            </w:pPr>
            <w:r>
              <w:rPr>
                <w:rFonts w:hint="eastAsia" w:ascii="宋体" w:hAnsi="宋体" w:cs="宋体"/>
                <w:szCs w:val="21"/>
                <w:highlight w:val="none"/>
              </w:rPr>
              <w:t>形式评审标准</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投标人名称</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8" w:type="pct"/>
            <w:vMerge w:val="continue"/>
            <w:tcBorders>
              <w:right w:val="single" w:color="auto" w:sz="4" w:space="0"/>
            </w:tcBorders>
            <w:noWrap w:val="0"/>
            <w:vAlign w:val="center"/>
          </w:tcPr>
          <w:p>
            <w:pPr>
              <w:spacing w:line="0" w:lineRule="atLeast"/>
              <w:ind w:left="-109" w:leftChars="-52" w:right="-111" w:rightChars="-53" w:firstLine="1"/>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签字盖章</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ind w:left="-2" w:leftChars="-1" w:right="-107" w:rightChars="-51" w:firstLine="4" w:firstLineChars="2"/>
              <w:rPr>
                <w:rFonts w:hint="eastAsia" w:ascii="宋体" w:hAnsi="宋体" w:cs="宋体"/>
                <w:szCs w:val="21"/>
                <w:highlight w:val="none"/>
              </w:rPr>
            </w:pPr>
            <w:r>
              <w:rPr>
                <w:rFonts w:hint="eastAsia" w:ascii="宋体" w:hAnsi="宋体" w:cs="宋体"/>
                <w:szCs w:val="21"/>
                <w:highlight w:val="none"/>
              </w:rPr>
              <w:t>投标文件上法定代表人或其委托代理人的签字、投标人的单位盖章齐全，符合招标文件规定。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8" w:type="pct"/>
            <w:vMerge w:val="continue"/>
            <w:tcBorders>
              <w:right w:val="single" w:color="auto" w:sz="4" w:space="0"/>
            </w:tcBorders>
            <w:noWrap w:val="0"/>
            <w:vAlign w:val="center"/>
          </w:tcPr>
          <w:p>
            <w:pPr>
              <w:spacing w:line="0" w:lineRule="atLeast"/>
              <w:ind w:left="-109" w:leftChars="-52" w:right="-111" w:rightChars="-53" w:firstLine="1"/>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szCs w:val="21"/>
                <w:highlight w:val="none"/>
              </w:rPr>
            </w:pPr>
            <w:r>
              <w:rPr>
                <w:rFonts w:hint="eastAsia" w:ascii="宋体" w:hAnsi="宋体" w:cs="宋体"/>
                <w:szCs w:val="21"/>
                <w:highlight w:val="none"/>
              </w:rPr>
              <w:t>投标标段</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ind w:left="-2" w:leftChars="-1" w:right="-107" w:rightChars="-51" w:firstLine="4" w:firstLineChars="2"/>
              <w:rPr>
                <w:rFonts w:hint="eastAsia" w:ascii="宋体" w:hAnsi="宋体" w:cs="宋体"/>
                <w:szCs w:val="21"/>
                <w:highlight w:val="none"/>
              </w:rPr>
            </w:pPr>
            <w:r>
              <w:rPr>
                <w:rFonts w:hint="eastAsia" w:ascii="宋体" w:hAnsi="宋体"/>
                <w:szCs w:val="21"/>
                <w:highlight w:val="none"/>
                <w:lang w:bidi="ar"/>
              </w:rPr>
              <w:t>提交投标文件的标段与所投标段一致。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8" w:type="pct"/>
            <w:vMerge w:val="continue"/>
            <w:tcBorders>
              <w:right w:val="single" w:color="auto" w:sz="4" w:space="0"/>
            </w:tcBorders>
            <w:noWrap w:val="0"/>
            <w:vAlign w:val="center"/>
          </w:tcPr>
          <w:p>
            <w:pPr>
              <w:spacing w:line="0" w:lineRule="atLeast"/>
              <w:ind w:left="-109" w:leftChars="-52" w:right="-111" w:rightChars="-53" w:firstLine="1"/>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投标文件格式</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rPr>
              <w:t>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8" w:type="pct"/>
            <w:vMerge w:val="continue"/>
            <w:tcBorders>
              <w:right w:val="single" w:color="auto" w:sz="4" w:space="0"/>
            </w:tcBorders>
            <w:noWrap w:val="0"/>
            <w:vAlign w:val="center"/>
          </w:tcPr>
          <w:p>
            <w:pPr>
              <w:spacing w:line="0" w:lineRule="atLeast"/>
              <w:ind w:left="-109" w:leftChars="-52" w:right="-111" w:rightChars="-53" w:firstLine="1"/>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制造商授权书（投标人为代理商适用）</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tabs>
                <w:tab w:val="right" w:pos="5068"/>
              </w:tabs>
              <w:rPr>
                <w:rFonts w:ascii="宋体" w:hAnsi="宋体" w:cs="宋体"/>
                <w:szCs w:val="21"/>
                <w:highlight w:val="none"/>
              </w:rPr>
            </w:pPr>
            <w:r>
              <w:rPr>
                <w:rFonts w:hint="eastAsia" w:ascii="宋体" w:hAnsi="宋体" w:cs="宋体"/>
                <w:szCs w:val="21"/>
                <w:highlight w:val="none"/>
              </w:rPr>
              <w:t>提供制造商授权书，符合招标文件要求</w:t>
            </w:r>
            <w:r>
              <w:rPr>
                <w:rFonts w:hint="eastAsia" w:ascii="宋体" w:hAnsi="宋体" w:cs="宋体"/>
                <w:szCs w:val="21"/>
                <w:highlight w:val="none"/>
              </w:rPr>
              <w:tab/>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8" w:type="pct"/>
            <w:vMerge w:val="continue"/>
            <w:tcBorders>
              <w:right w:val="single" w:color="auto" w:sz="4" w:space="0"/>
            </w:tcBorders>
            <w:noWrap w:val="0"/>
            <w:vAlign w:val="center"/>
          </w:tcPr>
          <w:p>
            <w:pPr>
              <w:spacing w:line="0" w:lineRule="atLeast"/>
              <w:ind w:right="-111" w:rightChars="-53"/>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联合体投标人</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hint="eastAsia" w:ascii="宋体" w:hAnsi="宋体" w:cs="宋体"/>
                <w:szCs w:val="21"/>
                <w:highlight w:val="none"/>
              </w:rPr>
            </w:pPr>
            <w:r>
              <w:rPr>
                <w:rFonts w:hint="eastAsia" w:ascii="宋体" w:hAnsi="宋体" w:cs="宋体"/>
                <w:szCs w:val="21"/>
                <w:highlight w:val="none"/>
              </w:rPr>
              <w:t>投标人未以联合体形式投标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8" w:type="pct"/>
            <w:vMerge w:val="continue"/>
            <w:tcBorders>
              <w:right w:val="single" w:color="auto" w:sz="4" w:space="0"/>
            </w:tcBorders>
            <w:noWrap w:val="0"/>
            <w:vAlign w:val="center"/>
          </w:tcPr>
          <w:p>
            <w:pPr>
              <w:spacing w:line="0" w:lineRule="atLeast"/>
              <w:ind w:right="-111" w:rightChars="-53"/>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lang w:bidi="ar"/>
              </w:rPr>
              <w:t>备选投标方案</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left"/>
              <w:rPr>
                <w:rFonts w:hint="eastAsia" w:ascii="宋体" w:hAnsi="宋体" w:cs="宋体"/>
                <w:szCs w:val="21"/>
                <w:highlight w:val="none"/>
              </w:rPr>
            </w:pPr>
            <w:r>
              <w:rPr>
                <w:rFonts w:hint="eastAsia" w:ascii="宋体" w:hAnsi="宋体" w:cs="宋体"/>
                <w:szCs w:val="21"/>
                <w:highlight w:val="none"/>
                <w:lang w:bidi="ar"/>
              </w:rPr>
              <w:t>投标人未提交备选投标方案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8" w:type="pct"/>
            <w:vMerge w:val="continue"/>
            <w:tcBorders>
              <w:right w:val="single" w:color="auto" w:sz="4" w:space="0"/>
            </w:tcBorders>
            <w:noWrap w:val="0"/>
            <w:vAlign w:val="center"/>
          </w:tcPr>
          <w:p>
            <w:pPr>
              <w:spacing w:line="0" w:lineRule="atLeast"/>
              <w:ind w:right="-111" w:rightChars="-53"/>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其他</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left"/>
              <w:rPr>
                <w:rFonts w:ascii="宋体" w:hAnsi="宋体" w:cs="宋体"/>
                <w:szCs w:val="21"/>
                <w:highlight w:val="none"/>
              </w:rPr>
            </w:pPr>
            <w:r>
              <w:rPr>
                <w:rFonts w:hint="eastAsia" w:ascii="宋体" w:hAnsi="宋体" w:cs="宋体"/>
                <w:szCs w:val="21"/>
                <w:highlight w:val="none"/>
              </w:rPr>
              <w:t>制造商及其委托的代理商未同时参加同一标段的投标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3" w:type="pct"/>
            <w:vMerge w:val="restar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2.1.2</w:t>
            </w:r>
          </w:p>
        </w:tc>
        <w:tc>
          <w:tcPr>
            <w:tcW w:w="588" w:type="pct"/>
            <w:vMerge w:val="restar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资格评审标准</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szCs w:val="21"/>
                <w:highlight w:val="none"/>
              </w:rPr>
            </w:pPr>
            <w:r>
              <w:rPr>
                <w:rFonts w:hint="eastAsia" w:ascii="宋体" w:hAnsi="宋体" w:cs="宋体"/>
                <w:szCs w:val="21"/>
                <w:highlight w:val="none"/>
              </w:rPr>
              <w:t>营业执照和组织机构代码证</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宋体" w:hAnsi="宋体" w:cs="宋体"/>
                <w:szCs w:val="21"/>
                <w:highlight w:val="none"/>
              </w:rPr>
            </w:pPr>
            <w:r>
              <w:rPr>
                <w:rFonts w:hint="eastAsia" w:ascii="宋体" w:hAnsi="宋体" w:cs="宋体"/>
                <w:szCs w:val="21"/>
                <w:highlight w:val="none"/>
              </w:rPr>
              <w:t>符合第二章“投标人须知”第3.5.1项规定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8"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资格要求</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rPr>
              <w:t>符合第二章“投标人须知”第 1.4.1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8"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业绩要求</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rPr>
              <w:t>符合第二章“投标人须知”第 1.4.1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8"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信誉要求</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254" w:lineRule="exact"/>
              <w:jc w:val="left"/>
              <w:rPr>
                <w:rFonts w:hint="eastAsia" w:ascii="宋体" w:hAnsi="宋体" w:cs="宋体"/>
                <w:szCs w:val="21"/>
                <w:highlight w:val="none"/>
              </w:rPr>
            </w:pPr>
            <w:r>
              <w:rPr>
                <w:rFonts w:hint="eastAsia" w:ascii="宋体" w:hAnsi="宋体" w:cs="宋体"/>
                <w:szCs w:val="21"/>
                <w:highlight w:val="none"/>
              </w:rPr>
              <w:t>符合第二章“投标人须知”第 1.4.1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8"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highlight w:val="none"/>
              </w:rPr>
              <w:t>其他要求</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254" w:lineRule="exact"/>
              <w:jc w:val="left"/>
              <w:rPr>
                <w:rFonts w:hint="eastAsia" w:ascii="宋体" w:hAnsi="宋体" w:cs="宋体"/>
                <w:szCs w:val="21"/>
                <w:highlight w:val="none"/>
              </w:rPr>
            </w:pPr>
            <w:r>
              <w:rPr>
                <w:rFonts w:hint="eastAsia" w:ascii="宋体" w:hAnsi="宋体" w:cs="宋体"/>
                <w:highlight w:val="none"/>
              </w:rPr>
              <w:t>符合第二章</w:t>
            </w:r>
            <w:r>
              <w:rPr>
                <w:rFonts w:hint="eastAsia" w:ascii="宋体" w:hAnsi="宋体" w:cs="宋体"/>
                <w:i/>
                <w:highlight w:val="none"/>
              </w:rPr>
              <w:t>“</w:t>
            </w:r>
            <w:r>
              <w:rPr>
                <w:rFonts w:hint="eastAsia" w:ascii="宋体" w:hAnsi="宋体" w:cs="宋体"/>
                <w:highlight w:val="none"/>
              </w:rPr>
              <w:t>投标人须知</w:t>
            </w:r>
            <w:r>
              <w:rPr>
                <w:rFonts w:hint="eastAsia" w:ascii="宋体" w:hAnsi="宋体" w:cs="宋体"/>
                <w:i/>
                <w:highlight w:val="none"/>
              </w:rPr>
              <w:t>”</w:t>
            </w:r>
            <w:r>
              <w:rPr>
                <w:rFonts w:hint="eastAsia" w:ascii="宋体" w:hAnsi="宋体" w:cs="宋体"/>
                <w:highlight w:val="none"/>
              </w:rPr>
              <w:t>第</w:t>
            </w:r>
            <w:r>
              <w:rPr>
                <w:rFonts w:hint="eastAsia" w:ascii="宋体" w:hAnsi="宋体" w:cs="宋体"/>
                <w:spacing w:val="-78"/>
                <w:highlight w:val="none"/>
              </w:rPr>
              <w:t xml:space="preserve"> </w:t>
            </w:r>
            <w:r>
              <w:rPr>
                <w:rFonts w:hint="eastAsia" w:ascii="宋体" w:hAnsi="宋体" w:cs="宋体"/>
                <w:highlight w:val="none"/>
              </w:rPr>
              <w:t>1.4.1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8"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highlight w:val="none"/>
              </w:rPr>
            </w:pPr>
            <w:r>
              <w:rPr>
                <w:rFonts w:hint="eastAsia" w:ascii="宋体" w:hAnsi="宋体" w:cs="宋体"/>
                <w:szCs w:val="21"/>
                <w:highlight w:val="none"/>
              </w:rPr>
              <w:t>不存在禁止投标的情形</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254" w:lineRule="exact"/>
              <w:jc w:val="left"/>
              <w:rPr>
                <w:rFonts w:hint="eastAsia" w:ascii="宋体" w:hAnsi="宋体" w:cs="宋体"/>
                <w:highlight w:val="none"/>
              </w:rPr>
            </w:pPr>
            <w:r>
              <w:rPr>
                <w:rFonts w:hint="eastAsia" w:ascii="宋体" w:hAnsi="宋体" w:cs="宋体"/>
                <w:szCs w:val="21"/>
                <w:highlight w:val="none"/>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restar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2.1.3</w:t>
            </w:r>
          </w:p>
        </w:tc>
        <w:tc>
          <w:tcPr>
            <w:tcW w:w="588" w:type="pct"/>
            <w:vMerge w:val="restart"/>
            <w:tcBorders>
              <w:top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响应性评审标准</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投标报价</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rPr>
              <w:t>符合第二章“投标人须知”第 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8" w:type="pct"/>
            <w:vMerge w:val="continue"/>
            <w:tcBorders>
              <w:top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投标内容</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rPr>
              <w:t>符合第二章“投标人须知”第 1.3.1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8"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交货期</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rPr>
              <w:t>符合第二章“投标人须知”第 1.3.2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8"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交货地点</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rPr>
              <w:t>符合第二章“投标人须知”第 1.3.3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8"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质量要求</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rPr>
              <w:t>符合第二章“投标人须知”第 1.3.4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8"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投标有效期</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rPr>
              <w:t>符合第二章“投标人须知”第 3.3.1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8"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投标保证金</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0" w:lineRule="atLeast"/>
              <w:ind w:left="80"/>
              <w:rPr>
                <w:rFonts w:hint="eastAsia" w:ascii="宋体" w:hAnsi="宋体" w:cs="宋体"/>
                <w:szCs w:val="21"/>
                <w:highlight w:val="none"/>
              </w:rPr>
            </w:pPr>
            <w:r>
              <w:rPr>
                <w:rFonts w:hint="eastAsia" w:ascii="宋体" w:hAnsi="宋体" w:cs="宋体"/>
                <w:szCs w:val="21"/>
                <w:highlight w:val="none"/>
              </w:rPr>
              <w:t>符合第二章“投标人须知”第 3.4.1项规定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8"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权利义务</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rPr>
              <w:t>符合第二章“投标人须知”第 1.11.1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8"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投标材料及相关服务</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0" w:lineRule="atLeast"/>
              <w:ind w:left="80"/>
              <w:jc w:val="left"/>
              <w:rPr>
                <w:rFonts w:hint="eastAsia" w:ascii="宋体" w:hAnsi="宋体" w:cs="宋体"/>
                <w:szCs w:val="21"/>
                <w:highlight w:val="none"/>
              </w:rPr>
            </w:pPr>
            <w:r>
              <w:rPr>
                <w:rFonts w:hint="eastAsia" w:ascii="宋体" w:hAnsi="宋体" w:cs="宋体"/>
                <w:szCs w:val="21"/>
                <w:highlight w:val="none"/>
              </w:rPr>
              <w:t>符合第五章“供货要求”中的实质性要求和条件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8"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技术支持资料</w:t>
            </w:r>
          </w:p>
        </w:tc>
        <w:tc>
          <w:tcPr>
            <w:tcW w:w="534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left="80" w:leftChars="0"/>
              <w:jc w:val="left"/>
              <w:rPr>
                <w:rFonts w:hint="eastAsia" w:ascii="宋体" w:hAnsi="宋体" w:cs="宋体"/>
                <w:szCs w:val="21"/>
                <w:highlight w:val="none"/>
              </w:rPr>
            </w:pPr>
            <w:r>
              <w:rPr>
                <w:rFonts w:hint="eastAsia" w:ascii="宋体" w:hAnsi="宋体" w:cs="宋体"/>
                <w:szCs w:val="21"/>
                <w:highlight w:val="none"/>
              </w:rPr>
              <w:t>符合第二章“投标人须知”第 1.11.3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p>
        </w:tc>
        <w:tc>
          <w:tcPr>
            <w:tcW w:w="588" w:type="pct"/>
            <w:vMerge w:val="continue"/>
            <w:tcBorders>
              <w:right w:val="single" w:color="auto" w:sz="4" w:space="0"/>
            </w:tcBorders>
            <w:noWrap w:val="0"/>
            <w:vAlign w:val="center"/>
          </w:tcPr>
          <w:p>
            <w:pPr>
              <w:spacing w:line="0" w:lineRule="atLeast"/>
              <w:jc w:val="center"/>
              <w:rPr>
                <w:rFonts w:hint="eastAsia" w:ascii="宋体" w:hAnsi="宋体" w:cs="宋体"/>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标段</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0" w:lineRule="atLeast"/>
              <w:ind w:left="80"/>
              <w:jc w:val="left"/>
              <w:rPr>
                <w:rFonts w:hint="eastAsia" w:ascii="宋体" w:hAnsi="宋体" w:cs="宋体"/>
                <w:szCs w:val="21"/>
                <w:highlight w:val="none"/>
              </w:rPr>
            </w:pPr>
            <w:r>
              <w:rPr>
                <w:rFonts w:hint="eastAsia" w:ascii="宋体" w:hAnsi="宋体" w:cs="宋体"/>
                <w:szCs w:val="21"/>
                <w:highlight w:val="none"/>
              </w:rPr>
              <w:t>投标人投标文件标明标段与所投标段一致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highlight w:val="none"/>
              </w:rPr>
            </w:pPr>
            <w:r>
              <w:rPr>
                <w:rFonts w:hint="eastAsia" w:ascii="宋体" w:hAnsi="宋体" w:cs="宋体"/>
                <w:b/>
                <w:szCs w:val="21"/>
                <w:highlight w:val="none"/>
              </w:rPr>
              <w:t>条款号</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条款内容</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highlight w:val="none"/>
              </w:rPr>
            </w:pPr>
            <w:r>
              <w:rPr>
                <w:rFonts w:hint="eastAsia" w:ascii="宋体" w:hAnsi="宋体" w:cs="宋体"/>
                <w:b/>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31" w:type="pct"/>
            <w:gridSpan w:val="2"/>
            <w:tcBorders>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2.2.1</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分值构成</w:t>
            </w:r>
          </w:p>
          <w:p>
            <w:pPr>
              <w:spacing w:line="0" w:lineRule="atLeast"/>
              <w:jc w:val="center"/>
              <w:rPr>
                <w:rFonts w:hint="eastAsia" w:ascii="宋体" w:hAnsi="宋体" w:cs="宋体"/>
                <w:szCs w:val="21"/>
                <w:highlight w:val="none"/>
              </w:rPr>
            </w:pPr>
            <w:r>
              <w:rPr>
                <w:rFonts w:hint="eastAsia" w:ascii="宋体" w:hAnsi="宋体" w:cs="宋体"/>
                <w:szCs w:val="21"/>
                <w:highlight w:val="none"/>
              </w:rPr>
              <w:t>(总分100分)</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rPr>
              <w:t>商务部分：</w:t>
            </w:r>
            <w:r>
              <w:rPr>
                <w:rFonts w:ascii="宋体" w:hAnsi="宋体" w:cs="宋体"/>
                <w:szCs w:val="21"/>
                <w:highlight w:val="none"/>
                <w:u w:val="single"/>
              </w:rPr>
              <w:t>2</w:t>
            </w:r>
            <w:r>
              <w:rPr>
                <w:rFonts w:hint="eastAsia" w:ascii="宋体" w:hAnsi="宋体" w:cs="宋体"/>
                <w:szCs w:val="21"/>
                <w:highlight w:val="none"/>
                <w:u w:val="single"/>
              </w:rPr>
              <w:t>0</w:t>
            </w:r>
            <w:r>
              <w:rPr>
                <w:rFonts w:hint="eastAsia" w:ascii="宋体" w:hAnsi="宋体" w:cs="宋体"/>
                <w:szCs w:val="21"/>
                <w:highlight w:val="none"/>
              </w:rPr>
              <w:t>分</w:t>
            </w:r>
          </w:p>
          <w:p>
            <w:pPr>
              <w:spacing w:line="0" w:lineRule="atLeast"/>
              <w:rPr>
                <w:rFonts w:hint="eastAsia" w:ascii="宋体" w:hAnsi="宋体" w:cs="宋体"/>
                <w:szCs w:val="21"/>
                <w:highlight w:val="none"/>
              </w:rPr>
            </w:pPr>
            <w:r>
              <w:rPr>
                <w:rFonts w:hint="eastAsia" w:ascii="宋体" w:hAnsi="宋体" w:cs="宋体"/>
                <w:szCs w:val="21"/>
                <w:highlight w:val="none"/>
              </w:rPr>
              <w:t>技术部分：</w:t>
            </w:r>
            <w:r>
              <w:rPr>
                <w:rFonts w:ascii="宋体" w:hAnsi="宋体" w:cs="宋体"/>
                <w:szCs w:val="21"/>
                <w:highlight w:val="none"/>
                <w:u w:val="single"/>
              </w:rPr>
              <w:t>5</w:t>
            </w:r>
            <w:r>
              <w:rPr>
                <w:rFonts w:hint="eastAsia" w:ascii="宋体" w:hAnsi="宋体" w:cs="宋体"/>
                <w:szCs w:val="21"/>
                <w:highlight w:val="none"/>
                <w:u w:val="single"/>
              </w:rPr>
              <w:t>0</w:t>
            </w:r>
            <w:r>
              <w:rPr>
                <w:rFonts w:hint="eastAsia" w:ascii="宋体" w:hAnsi="宋体" w:cs="宋体"/>
                <w:szCs w:val="21"/>
                <w:highlight w:val="none"/>
              </w:rPr>
              <w:t>分</w:t>
            </w:r>
          </w:p>
          <w:p>
            <w:pPr>
              <w:spacing w:line="0" w:lineRule="atLeast"/>
              <w:rPr>
                <w:rFonts w:hint="eastAsia" w:ascii="宋体" w:hAnsi="宋体" w:cs="宋体"/>
                <w:szCs w:val="21"/>
                <w:highlight w:val="none"/>
              </w:rPr>
            </w:pPr>
            <w:r>
              <w:rPr>
                <w:rFonts w:hint="eastAsia" w:ascii="宋体" w:hAnsi="宋体" w:cs="宋体"/>
                <w:szCs w:val="21"/>
                <w:highlight w:val="none"/>
              </w:rPr>
              <w:t>投标报价：</w:t>
            </w:r>
            <w:r>
              <w:rPr>
                <w:rFonts w:hint="eastAsia" w:ascii="宋体" w:hAnsi="宋体" w:cs="宋体"/>
                <w:szCs w:val="21"/>
                <w:highlight w:val="none"/>
                <w:u w:val="single"/>
              </w:rPr>
              <w:t>30</w:t>
            </w:r>
            <w:r>
              <w:rPr>
                <w:rFonts w:hint="eastAsia" w:ascii="宋体" w:hAnsi="宋体" w:cs="宋体"/>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2.2.2</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评标基准价计算方法</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评标基准价的计算：</w:t>
            </w:r>
          </w:p>
          <w:p>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在开标现场计算并宣布评标基准价。</w:t>
            </w:r>
          </w:p>
          <w:p>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（1）评标价的确定：评标价＝投标函文字报价</w:t>
            </w:r>
          </w:p>
          <w:p>
            <w:pPr>
              <w:spacing w:line="276" w:lineRule="auto"/>
              <w:ind w:firstLine="404" w:firstLineChars="200"/>
              <w:jc w:val="left"/>
              <w:rPr>
                <w:rFonts w:hint="eastAsia" w:ascii="宋体" w:hAnsi="宋体" w:cs="宋体"/>
                <w:spacing w:val="-4"/>
                <w:szCs w:val="21"/>
                <w:highlight w:val="none"/>
              </w:rPr>
            </w:pPr>
            <w:r>
              <w:rPr>
                <w:rFonts w:hint="eastAsia" w:ascii="宋体" w:hAnsi="宋体" w:cs="宋体"/>
                <w:spacing w:val="-4"/>
                <w:szCs w:val="21"/>
                <w:highlight w:val="none"/>
              </w:rPr>
              <w:t>（2）评标价平均值的计算：</w:t>
            </w:r>
          </w:p>
          <w:p>
            <w:pPr>
              <w:spacing w:line="276" w:lineRule="auto"/>
              <w:ind w:firstLine="357" w:firstLineChars="177"/>
              <w:rPr>
                <w:rFonts w:hint="eastAsia" w:ascii="宋体" w:hAnsi="宋体" w:cs="宋体"/>
                <w:spacing w:val="-4"/>
                <w:szCs w:val="21"/>
                <w:highlight w:val="none"/>
              </w:rPr>
            </w:pPr>
            <w:r>
              <w:rPr>
                <w:rFonts w:hint="eastAsia" w:ascii="宋体" w:hAnsi="宋体" w:cs="宋体"/>
                <w:spacing w:val="-4"/>
                <w:szCs w:val="21"/>
                <w:highlight w:val="none"/>
              </w:rPr>
              <w:t>除按第二章“投标人须知”第5.2.2项规定开标现场被宣布为不进入评标基准价计算的投标报价之外的投标人评标价，所有投标人的评标价去掉n个最高评标价和n个最低评标价后的算术平均值即为评标价平均值：</w:t>
            </w:r>
          </w:p>
          <w:p>
            <w:pPr>
              <w:spacing w:line="276" w:lineRule="auto"/>
              <w:ind w:firstLine="357" w:firstLineChars="177"/>
              <w:rPr>
                <w:rFonts w:hint="eastAsia" w:ascii="宋体" w:hAnsi="宋体" w:cs="宋体"/>
                <w:spacing w:val="-4"/>
                <w:szCs w:val="21"/>
                <w:highlight w:val="none"/>
              </w:rPr>
            </w:pPr>
            <w:r>
              <w:rPr>
                <w:rFonts w:hint="eastAsia" w:ascii="宋体" w:hAnsi="宋体" w:cs="宋体"/>
                <w:spacing w:val="-4"/>
                <w:szCs w:val="21"/>
                <w:highlight w:val="none"/>
              </w:rPr>
              <w:t>如果参与评标价平均值计算的投标人数量＜6家时，n=0；</w:t>
            </w:r>
          </w:p>
          <w:p>
            <w:pPr>
              <w:spacing w:line="276" w:lineRule="auto"/>
              <w:ind w:firstLine="357" w:firstLineChars="177"/>
              <w:rPr>
                <w:rFonts w:hint="eastAsia" w:ascii="宋体" w:hAnsi="宋体" w:cs="宋体"/>
                <w:spacing w:val="-4"/>
                <w:szCs w:val="21"/>
                <w:highlight w:val="none"/>
              </w:rPr>
            </w:pPr>
            <w:r>
              <w:rPr>
                <w:rFonts w:hint="eastAsia" w:ascii="宋体" w:hAnsi="宋体" w:cs="宋体"/>
                <w:spacing w:val="-4"/>
                <w:szCs w:val="21"/>
                <w:highlight w:val="none"/>
              </w:rPr>
              <w:t>6家≤参与评标价平均值计算的投标人数量＜10家时，n =1；</w:t>
            </w:r>
          </w:p>
          <w:p>
            <w:pPr>
              <w:spacing w:line="276" w:lineRule="auto"/>
              <w:ind w:firstLine="357" w:firstLineChars="177"/>
              <w:rPr>
                <w:rFonts w:hint="eastAsia" w:ascii="宋体" w:hAnsi="宋体" w:cs="宋体"/>
                <w:spacing w:val="-4"/>
                <w:szCs w:val="21"/>
                <w:highlight w:val="none"/>
              </w:rPr>
            </w:pPr>
            <w:r>
              <w:rPr>
                <w:rFonts w:hint="eastAsia" w:ascii="宋体" w:hAnsi="宋体" w:cs="宋体"/>
                <w:spacing w:val="-4"/>
                <w:szCs w:val="21"/>
                <w:highlight w:val="none"/>
              </w:rPr>
              <w:t>参与评标价平均值计算的投标人数量≥10家时，n=2。</w:t>
            </w:r>
          </w:p>
          <w:p>
            <w:pPr>
              <w:spacing w:line="276" w:lineRule="auto"/>
              <w:ind w:firstLine="404" w:firstLineChars="200"/>
              <w:jc w:val="left"/>
              <w:rPr>
                <w:rFonts w:hint="eastAsia" w:ascii="宋体" w:hAnsi="宋体" w:cs="宋体"/>
                <w:spacing w:val="-4"/>
                <w:szCs w:val="21"/>
                <w:highlight w:val="none"/>
              </w:rPr>
            </w:pPr>
            <w:r>
              <w:rPr>
                <w:rFonts w:hint="eastAsia" w:ascii="宋体" w:hAnsi="宋体" w:cs="宋体"/>
                <w:spacing w:val="-4"/>
                <w:szCs w:val="21"/>
                <w:highlight w:val="none"/>
              </w:rPr>
              <w:t>（3）评标基准价的确定：</w:t>
            </w:r>
          </w:p>
          <w:p>
            <w:pPr>
              <w:snapToGrid w:val="0"/>
              <w:spacing w:line="288" w:lineRule="auto"/>
              <w:ind w:firstLine="420" w:firstLineChars="200"/>
              <w:rPr>
                <w:rFonts w:ascii="宋体" w:hAnsi="宋体" w:cs="宋体"/>
                <w:szCs w:val="21"/>
                <w:highlight w:val="none"/>
              </w:rPr>
            </w:pPr>
            <w:r>
              <w:rPr>
                <w:rFonts w:hint="eastAsia" w:ascii="宋体" w:hAnsi="宋体" w:cs="宋体"/>
                <w:szCs w:val="21"/>
                <w:highlight w:val="none"/>
              </w:rPr>
              <w:t>将评标价平均值直接作为评标基准价（评标基准价保留两位小数，第三位四舍五入）。</w:t>
            </w:r>
          </w:p>
          <w:p>
            <w:pPr>
              <w:snapToGrid w:val="0"/>
              <w:spacing w:line="288" w:lineRule="auto"/>
              <w:ind w:firstLine="404" w:firstLineChars="200"/>
              <w:rPr>
                <w:rFonts w:hint="eastAsia" w:ascii="宋体" w:hAnsi="宋体" w:cs="宋体"/>
                <w:highlight w:val="none"/>
              </w:rPr>
            </w:pPr>
            <w:r>
              <w:rPr>
                <w:rFonts w:hint="eastAsia" w:ascii="宋体" w:hAnsi="宋体" w:cs="宋体"/>
                <w:spacing w:val="-4"/>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2.2.3</w:t>
            </w:r>
          </w:p>
        </w:tc>
        <w:tc>
          <w:tcPr>
            <w:tcW w:w="1124" w:type="pct"/>
            <w:tcBorders>
              <w:top w:val="single" w:color="auto" w:sz="4" w:space="0"/>
              <w:left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投标报价的偏差率计算公式</w:t>
            </w:r>
          </w:p>
        </w:tc>
        <w:tc>
          <w:tcPr>
            <w:tcW w:w="2845" w:type="pct"/>
            <w:tcBorders>
              <w:top w:val="single" w:color="auto" w:sz="4" w:space="0"/>
              <w:left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rPr>
              <w:t>偏差率=100%×（投标报价−评标基准价）/评标基准价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增加：3.1.4</w:t>
            </w:r>
          </w:p>
        </w:tc>
        <w:tc>
          <w:tcPr>
            <w:tcW w:w="1124" w:type="pct"/>
            <w:tcBorders>
              <w:top w:val="single" w:color="auto" w:sz="4" w:space="0"/>
              <w:left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修正后的最终投标报价</w:t>
            </w:r>
          </w:p>
        </w:tc>
        <w:tc>
          <w:tcPr>
            <w:tcW w:w="2845" w:type="pct"/>
            <w:tcBorders>
              <w:top w:val="single" w:color="auto" w:sz="4" w:space="0"/>
              <w:left w:val="single" w:color="auto" w:sz="4" w:space="0"/>
              <w:right w:val="single" w:color="auto" w:sz="4" w:space="0"/>
            </w:tcBorders>
            <w:noWrap w:val="0"/>
            <w:vAlign w:val="center"/>
          </w:tcPr>
          <w:p>
            <w:pPr>
              <w:spacing w:line="0" w:lineRule="atLeast"/>
              <w:rPr>
                <w:rFonts w:hint="eastAsia" w:ascii="宋体" w:hAnsi="宋体" w:cs="宋体"/>
                <w:szCs w:val="21"/>
                <w:highlight w:val="none"/>
              </w:rPr>
            </w:pPr>
            <w:r>
              <w:rPr>
                <w:rFonts w:hint="eastAsia" w:ascii="宋体" w:hAnsi="宋体" w:cs="宋体"/>
                <w:szCs w:val="21"/>
                <w:highlight w:val="none"/>
              </w:rPr>
              <w:t>修正后的最终投标报价若超过最高投标限价，评标委员会应否决其投标。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highlight w:val="none"/>
              </w:rPr>
            </w:pPr>
            <w:r>
              <w:rPr>
                <w:rFonts w:hint="eastAsia" w:ascii="宋体" w:hAnsi="宋体" w:cs="宋体"/>
                <w:szCs w:val="21"/>
                <w:highlight w:val="none"/>
              </w:rPr>
              <w:t>增加：3.2.5</w:t>
            </w:r>
          </w:p>
        </w:tc>
        <w:tc>
          <w:tcPr>
            <w:tcW w:w="1124" w:type="pct"/>
            <w:tcBorders>
              <w:top w:val="single" w:color="auto" w:sz="4" w:space="0"/>
              <w:left w:val="single" w:color="auto" w:sz="4" w:space="0"/>
              <w:right w:val="single" w:color="auto" w:sz="4" w:space="0"/>
            </w:tcBorders>
            <w:noWrap w:val="0"/>
            <w:vAlign w:val="center"/>
          </w:tcPr>
          <w:p>
            <w:pPr>
              <w:spacing w:line="288" w:lineRule="auto"/>
              <w:jc w:val="center"/>
              <w:rPr>
                <w:rFonts w:hint="eastAsia" w:ascii="宋体" w:hAnsi="宋体" w:cs="宋体"/>
                <w:szCs w:val="21"/>
                <w:highlight w:val="none"/>
              </w:rPr>
            </w:pPr>
            <w:r>
              <w:rPr>
                <w:rFonts w:hint="eastAsia" w:ascii="宋体" w:hAnsi="宋体" w:cs="宋体"/>
                <w:szCs w:val="21"/>
                <w:highlight w:val="none"/>
              </w:rPr>
              <w:t>投标文件相关信息的核查</w:t>
            </w:r>
          </w:p>
        </w:tc>
        <w:tc>
          <w:tcPr>
            <w:tcW w:w="2845" w:type="pct"/>
            <w:tcBorders>
              <w:top w:val="single" w:color="auto" w:sz="4" w:space="0"/>
              <w:left w:val="single" w:color="auto" w:sz="4" w:space="0"/>
              <w:right w:val="single" w:color="auto" w:sz="4" w:space="0"/>
            </w:tcBorders>
            <w:noWrap w:val="0"/>
            <w:vAlign w:val="center"/>
          </w:tcPr>
          <w:p>
            <w:pPr>
              <w:snapToGrid w:val="0"/>
              <w:spacing w:line="288" w:lineRule="auto"/>
              <w:jc w:val="left"/>
              <w:rPr>
                <w:rFonts w:hint="eastAsia" w:ascii="宋体" w:hAnsi="宋体"/>
                <w:highlight w:val="none"/>
              </w:rPr>
            </w:pPr>
            <w:r>
              <w:rPr>
                <w:rFonts w:hint="eastAsia" w:ascii="宋体" w:hAnsi="宋体"/>
                <w:highlight w:val="none"/>
              </w:rPr>
              <w:t>3.2.5投标文件相关信息的核查</w:t>
            </w:r>
          </w:p>
          <w:p>
            <w:pPr>
              <w:snapToGrid w:val="0"/>
              <w:spacing w:line="288" w:lineRule="auto"/>
              <w:jc w:val="left"/>
              <w:rPr>
                <w:rFonts w:hint="eastAsia" w:ascii="宋体" w:hAnsi="宋体"/>
                <w:highlight w:val="none"/>
              </w:rPr>
            </w:pPr>
            <w:r>
              <w:rPr>
                <w:rFonts w:hint="eastAsia" w:ascii="宋体" w:hAnsi="宋体"/>
                <w:highlight w:val="none"/>
              </w:rPr>
              <w:t>3.2.5.1在评标过程中，评标委员会应对以下信息进行查询：</w:t>
            </w:r>
          </w:p>
          <w:p>
            <w:pPr>
              <w:snapToGrid w:val="0"/>
              <w:spacing w:line="288" w:lineRule="auto"/>
              <w:ind w:firstLine="327" w:firstLineChars="156"/>
              <w:jc w:val="left"/>
              <w:rPr>
                <w:rFonts w:hint="eastAsia" w:ascii="宋体" w:hAnsi="宋体"/>
                <w:highlight w:val="none"/>
              </w:rPr>
            </w:pPr>
            <w:r>
              <w:rPr>
                <w:rFonts w:hint="eastAsia" w:ascii="宋体" w:hAnsi="宋体"/>
                <w:highlight w:val="none"/>
              </w:rPr>
              <w:t>（1）投标人信用情况网页截图内容与在“国家企业信用信息公示系统”中严重违法失信名单（黑名单）信息（不含分公司）或在“信用中国”网站“中失信被执行人名单、经营异常名录、税收违法黑名单、政府采购严重违法失信名单（均不含分公司）的复核结果一致。</w:t>
            </w:r>
          </w:p>
          <w:p>
            <w:pPr>
              <w:snapToGrid w:val="0"/>
              <w:spacing w:line="288" w:lineRule="auto"/>
              <w:ind w:firstLine="327" w:firstLineChars="156"/>
              <w:jc w:val="left"/>
              <w:rPr>
                <w:rFonts w:hint="eastAsia" w:ascii="宋体" w:hAnsi="宋体"/>
                <w:highlight w:val="none"/>
              </w:rPr>
            </w:pPr>
            <w:r>
              <w:rPr>
                <w:rFonts w:hint="eastAsia" w:ascii="宋体" w:hAnsi="宋体"/>
                <w:highlight w:val="none"/>
              </w:rPr>
              <w:t>如投标人未提供相关网页截图或所附截图与复核结果不一致导致不能满足资格评审要求的，评标委员会应否决其投标。</w:t>
            </w:r>
          </w:p>
          <w:p>
            <w:pPr>
              <w:autoSpaceDE w:val="0"/>
              <w:autoSpaceDN w:val="0"/>
              <w:spacing w:line="288" w:lineRule="auto"/>
              <w:ind w:firstLine="420" w:firstLineChars="200"/>
              <w:rPr>
                <w:rFonts w:hint="eastAsia" w:ascii="宋体" w:hAnsi="宋体"/>
                <w:highlight w:val="none"/>
              </w:rPr>
            </w:pPr>
            <w:r>
              <w:rPr>
                <w:rFonts w:hint="eastAsia" w:ascii="宋体" w:hAnsi="宋体"/>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pPr>
              <w:pStyle w:val="8"/>
              <w:shd w:val="clear" w:color="auto" w:fill="auto"/>
              <w:spacing w:before="0" w:line="288" w:lineRule="auto"/>
              <w:jc w:val="both"/>
              <w:rPr>
                <w:rFonts w:hint="eastAsia"/>
                <w:szCs w:val="21"/>
                <w:highlight w:val="none"/>
              </w:rPr>
            </w:pPr>
            <w:r>
              <w:rPr>
                <w:rFonts w:hint="eastAsia" w:cs="Times New Roman"/>
                <w:sz w:val="21"/>
                <w:szCs w:val="21"/>
                <w:highlight w:val="none"/>
              </w:rPr>
              <w:t>3.2.5.2评标委员会应对在评标过程中发现的投标人与投标人之间、投标人与招标人之间存在的串通投标的情形进行评审和认定。投标人存在串通投标、弄虚作假、行贿等违法行为的，评标委员会应否决其投标。</w:t>
            </w:r>
          </w:p>
        </w:tc>
      </w:tr>
    </w:tbl>
    <w:p>
      <w:pPr>
        <w:autoSpaceDE w:val="0"/>
        <w:autoSpaceDN w:val="0"/>
        <w:adjustRightInd w:val="0"/>
        <w:ind w:right="-20"/>
        <w:jc w:val="left"/>
        <w:rPr>
          <w:rFonts w:hint="eastAsia" w:ascii="宋体" w:hAnsi="宋体" w:cs="宋体"/>
          <w:spacing w:val="2"/>
          <w:kern w:val="0"/>
          <w:sz w:val="24"/>
          <w:szCs w:val="24"/>
          <w:highlight w:val="none"/>
        </w:rPr>
      </w:pPr>
    </w:p>
    <w:p>
      <w:pPr>
        <w:autoSpaceDE w:val="0"/>
        <w:autoSpaceDN w:val="0"/>
        <w:adjustRightInd w:val="0"/>
        <w:ind w:right="-20"/>
        <w:jc w:val="left"/>
        <w:rPr>
          <w:rFonts w:hint="eastAsia" w:ascii="宋体" w:hAnsi="宋体" w:cs="宋体"/>
          <w:sz w:val="24"/>
          <w:highlight w:val="none"/>
        </w:rPr>
      </w:pPr>
      <w:r>
        <w:rPr>
          <w:rFonts w:hint="eastAsia" w:ascii="宋体" w:hAnsi="宋体" w:cs="宋体"/>
          <w:kern w:val="0"/>
          <w:szCs w:val="21"/>
          <w:highlight w:val="none"/>
        </w:rPr>
        <w:t>具体评分标准</w:t>
      </w:r>
      <w:r>
        <w:rPr>
          <w:rFonts w:hint="eastAsia" w:ascii="宋体" w:hAnsi="宋体" w:cs="宋体"/>
          <w:highlight w:val="none"/>
        </w:rPr>
        <w:t xml:space="preserve"> </w:t>
      </w:r>
    </w:p>
    <w:tbl>
      <w:tblPr>
        <w:tblStyle w:val="5"/>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029"/>
        <w:gridCol w:w="1919"/>
        <w:gridCol w:w="851"/>
        <w:gridCol w:w="4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16" w:type="dxa"/>
            <w:noWrap w:val="0"/>
            <w:vAlign w:val="center"/>
          </w:tcPr>
          <w:p>
            <w:pPr>
              <w:pStyle w:val="3"/>
              <w:spacing w:line="160" w:lineRule="atLeast"/>
              <w:jc w:val="center"/>
              <w:textAlignment w:val="baseline"/>
              <w:rPr>
                <w:rFonts w:hint="eastAsia" w:hAnsi="宋体" w:cs="宋体"/>
                <w:kern w:val="0"/>
                <w:szCs w:val="21"/>
                <w:highlight w:val="none"/>
              </w:rPr>
            </w:pPr>
            <w:r>
              <w:rPr>
                <w:rFonts w:hint="eastAsia" w:hAnsi="宋体" w:cs="宋体"/>
                <w:highlight w:val="none"/>
              </w:rPr>
              <w:t>条款号</w:t>
            </w:r>
          </w:p>
        </w:tc>
        <w:tc>
          <w:tcPr>
            <w:tcW w:w="2948" w:type="dxa"/>
            <w:gridSpan w:val="2"/>
            <w:noWrap w:val="0"/>
            <w:vAlign w:val="center"/>
          </w:tcPr>
          <w:p>
            <w:pPr>
              <w:adjustRightInd w:val="0"/>
              <w:snapToGrid w:val="0"/>
              <w:spacing w:line="288" w:lineRule="auto"/>
              <w:jc w:val="center"/>
              <w:rPr>
                <w:rFonts w:hint="eastAsia" w:ascii="宋体" w:hAnsi="宋体" w:cs="宋体"/>
                <w:szCs w:val="21"/>
                <w:highlight w:val="none"/>
                <w:u w:val="single"/>
              </w:rPr>
            </w:pPr>
            <w:r>
              <w:rPr>
                <w:rFonts w:hint="eastAsia" w:ascii="宋体" w:hAnsi="宋体" w:cs="宋体"/>
                <w:szCs w:val="21"/>
                <w:highlight w:val="none"/>
              </w:rPr>
              <w:t>评分因素</w:t>
            </w:r>
          </w:p>
        </w:tc>
        <w:tc>
          <w:tcPr>
            <w:tcW w:w="851" w:type="dxa"/>
            <w:noWrap w:val="0"/>
            <w:vAlign w:val="center"/>
          </w:tcPr>
          <w:p>
            <w:pPr>
              <w:spacing w:line="288" w:lineRule="auto"/>
              <w:jc w:val="center"/>
              <w:rPr>
                <w:rFonts w:hint="eastAsia" w:ascii="宋体" w:hAnsi="宋体" w:cs="宋体"/>
                <w:szCs w:val="21"/>
                <w:highlight w:val="none"/>
              </w:rPr>
            </w:pPr>
            <w:r>
              <w:rPr>
                <w:rFonts w:hint="eastAsia" w:ascii="宋体" w:hAnsi="宋体" w:cs="宋体"/>
                <w:spacing w:val="-3"/>
                <w:szCs w:val="21"/>
                <w:highlight w:val="none"/>
              </w:rPr>
              <w:t>分</w:t>
            </w:r>
            <w:r>
              <w:rPr>
                <w:rFonts w:hint="eastAsia" w:ascii="宋体" w:hAnsi="宋体" w:cs="宋体"/>
                <w:spacing w:val="-2"/>
                <w:szCs w:val="21"/>
                <w:highlight w:val="none"/>
              </w:rPr>
              <w:t>值</w:t>
            </w:r>
          </w:p>
        </w:tc>
        <w:tc>
          <w:tcPr>
            <w:tcW w:w="4459" w:type="dxa"/>
            <w:noWrap w:val="0"/>
            <w:vAlign w:val="center"/>
          </w:tcPr>
          <w:p>
            <w:pPr>
              <w:spacing w:line="288" w:lineRule="auto"/>
              <w:jc w:val="center"/>
              <w:rPr>
                <w:rFonts w:hint="eastAsia" w:ascii="宋体" w:hAnsi="宋体" w:cs="宋体"/>
                <w:spacing w:val="-3"/>
                <w:szCs w:val="21"/>
                <w:highlight w:val="none"/>
              </w:rPr>
            </w:pPr>
            <w:r>
              <w:rPr>
                <w:rFonts w:hint="eastAsia" w:ascii="宋体" w:hAnsi="宋体" w:cs="宋体"/>
                <w:spacing w:val="-1"/>
                <w:szCs w:val="21"/>
                <w:highlight w:val="none"/>
              </w:rPr>
              <w:t>评分</w:t>
            </w:r>
            <w:r>
              <w:rPr>
                <w:rFonts w:hint="eastAsia" w:ascii="宋体" w:hAnsi="宋体" w:cs="宋体"/>
                <w:szCs w:val="21"/>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6" w:type="dxa"/>
            <w:vMerge w:val="restart"/>
            <w:noWrap w:val="0"/>
            <w:vAlign w:val="center"/>
          </w:tcPr>
          <w:p>
            <w:pPr>
              <w:spacing w:line="288" w:lineRule="auto"/>
              <w:jc w:val="center"/>
              <w:rPr>
                <w:rFonts w:hint="eastAsia" w:ascii="宋体" w:hAnsi="宋体" w:cs="宋体"/>
                <w:szCs w:val="21"/>
                <w:highlight w:val="none"/>
              </w:rPr>
            </w:pPr>
            <w:r>
              <w:rPr>
                <w:rFonts w:hint="eastAsia" w:ascii="宋体" w:hAnsi="宋体" w:cs="宋体"/>
                <w:kern w:val="0"/>
                <w:szCs w:val="21"/>
                <w:highlight w:val="none"/>
              </w:rPr>
              <w:t>2.2.4(1)</w:t>
            </w:r>
          </w:p>
        </w:tc>
        <w:tc>
          <w:tcPr>
            <w:tcW w:w="1029" w:type="dxa"/>
            <w:vMerge w:val="restart"/>
            <w:noWrap w:val="0"/>
            <w:vAlign w:val="center"/>
          </w:tcPr>
          <w:p>
            <w:pPr>
              <w:spacing w:line="288" w:lineRule="auto"/>
              <w:jc w:val="center"/>
              <w:rPr>
                <w:rFonts w:hint="eastAsia" w:ascii="宋体" w:hAnsi="宋体" w:cs="宋体"/>
                <w:szCs w:val="21"/>
                <w:highlight w:val="none"/>
              </w:rPr>
            </w:pPr>
            <w:r>
              <w:rPr>
                <w:rFonts w:hint="eastAsia" w:ascii="宋体" w:hAnsi="宋体" w:cs="宋体"/>
                <w:kern w:val="0"/>
                <w:szCs w:val="21"/>
                <w:highlight w:val="none"/>
              </w:rPr>
              <w:t>商务评分标准</w:t>
            </w:r>
          </w:p>
        </w:tc>
        <w:tc>
          <w:tcPr>
            <w:tcW w:w="1919" w:type="dxa"/>
            <w:vMerge w:val="restart"/>
            <w:noWrap w:val="0"/>
            <w:vAlign w:val="center"/>
          </w:tcPr>
          <w:p>
            <w:pPr>
              <w:adjustRightInd w:val="0"/>
              <w:snapToGrid w:val="0"/>
              <w:spacing w:line="288" w:lineRule="auto"/>
              <w:jc w:val="center"/>
              <w:rPr>
                <w:rFonts w:hint="eastAsia" w:ascii="宋体" w:hAnsi="宋体" w:cs="宋体"/>
                <w:szCs w:val="21"/>
                <w:highlight w:val="none"/>
              </w:rPr>
            </w:pPr>
            <w:r>
              <w:rPr>
                <w:rFonts w:hint="eastAsia" w:ascii="宋体" w:hAnsi="宋体" w:cs="宋体"/>
                <w:szCs w:val="21"/>
                <w:highlight w:val="none"/>
              </w:rPr>
              <w:t>对招标文件商务条件的响应程度</w:t>
            </w:r>
          </w:p>
        </w:tc>
        <w:tc>
          <w:tcPr>
            <w:tcW w:w="851" w:type="dxa"/>
            <w:vMerge w:val="restart"/>
            <w:noWrap w:val="0"/>
            <w:vAlign w:val="center"/>
          </w:tcPr>
          <w:p>
            <w:pPr>
              <w:spacing w:line="288" w:lineRule="auto"/>
              <w:jc w:val="center"/>
              <w:rPr>
                <w:rFonts w:hint="eastAsia" w:ascii="宋体" w:hAnsi="宋体" w:cs="宋体"/>
                <w:szCs w:val="21"/>
                <w:highlight w:val="none"/>
              </w:rPr>
            </w:pPr>
            <w:r>
              <w:rPr>
                <w:rFonts w:hint="eastAsia" w:ascii="宋体" w:hAnsi="宋体" w:cs="宋体"/>
                <w:kern w:val="0"/>
                <w:szCs w:val="21"/>
                <w:highlight w:val="none"/>
                <w:u w:val="single"/>
              </w:rPr>
              <w:t>10</w:t>
            </w:r>
            <w:r>
              <w:rPr>
                <w:rFonts w:hint="eastAsia" w:ascii="宋体" w:hAnsi="宋体" w:cs="宋体"/>
                <w:kern w:val="0"/>
                <w:szCs w:val="21"/>
                <w:highlight w:val="none"/>
              </w:rPr>
              <w:t>分</w:t>
            </w:r>
          </w:p>
        </w:tc>
        <w:tc>
          <w:tcPr>
            <w:tcW w:w="4459" w:type="dxa"/>
            <w:noWrap w:val="0"/>
            <w:vAlign w:val="center"/>
          </w:tcPr>
          <w:p>
            <w:pPr>
              <w:spacing w:line="340" w:lineRule="exact"/>
              <w:rPr>
                <w:rFonts w:hint="eastAsia" w:ascii="宋体" w:hAnsi="宋体" w:cs="宋体"/>
                <w:szCs w:val="21"/>
                <w:highlight w:val="none"/>
              </w:rPr>
            </w:pPr>
            <w:r>
              <w:rPr>
                <w:rFonts w:hint="eastAsia" w:ascii="宋体" w:hAnsi="宋体" w:cs="宋体"/>
                <w:szCs w:val="21"/>
                <w:highlight w:val="none"/>
              </w:rPr>
              <w:t>一般，得6.0分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6" w:type="dxa"/>
            <w:vMerge w:val="continue"/>
            <w:noWrap w:val="0"/>
            <w:vAlign w:val="center"/>
          </w:tcPr>
          <w:p>
            <w:pPr>
              <w:spacing w:line="288" w:lineRule="auto"/>
              <w:jc w:val="center"/>
              <w:rPr>
                <w:rFonts w:hint="eastAsia" w:ascii="宋体" w:hAnsi="宋体" w:cs="宋体"/>
                <w:kern w:val="0"/>
                <w:szCs w:val="21"/>
                <w:highlight w:val="none"/>
              </w:rPr>
            </w:pPr>
          </w:p>
        </w:tc>
        <w:tc>
          <w:tcPr>
            <w:tcW w:w="1029" w:type="dxa"/>
            <w:vMerge w:val="continue"/>
            <w:noWrap w:val="0"/>
            <w:vAlign w:val="center"/>
          </w:tcPr>
          <w:p>
            <w:pPr>
              <w:spacing w:line="288" w:lineRule="auto"/>
              <w:jc w:val="center"/>
              <w:rPr>
                <w:rFonts w:hint="eastAsia" w:ascii="宋体" w:hAnsi="宋体" w:cs="宋体"/>
                <w:kern w:val="0"/>
                <w:szCs w:val="21"/>
                <w:highlight w:val="none"/>
              </w:rPr>
            </w:pPr>
          </w:p>
        </w:tc>
        <w:tc>
          <w:tcPr>
            <w:tcW w:w="1919" w:type="dxa"/>
            <w:vMerge w:val="continue"/>
            <w:noWrap w:val="0"/>
            <w:vAlign w:val="center"/>
          </w:tcPr>
          <w:p>
            <w:pPr>
              <w:adjustRightInd w:val="0"/>
              <w:snapToGrid w:val="0"/>
              <w:spacing w:line="288" w:lineRule="auto"/>
              <w:jc w:val="center"/>
              <w:rPr>
                <w:rFonts w:hint="eastAsia" w:ascii="宋体" w:hAnsi="宋体" w:cs="宋体"/>
                <w:szCs w:val="21"/>
                <w:highlight w:val="none"/>
              </w:rPr>
            </w:pPr>
          </w:p>
        </w:tc>
        <w:tc>
          <w:tcPr>
            <w:tcW w:w="851" w:type="dxa"/>
            <w:vMerge w:val="continue"/>
            <w:noWrap w:val="0"/>
            <w:vAlign w:val="center"/>
          </w:tcPr>
          <w:p>
            <w:pPr>
              <w:spacing w:line="288" w:lineRule="auto"/>
              <w:jc w:val="center"/>
              <w:rPr>
                <w:rFonts w:hint="eastAsia" w:ascii="宋体" w:hAnsi="宋体" w:cs="宋体"/>
                <w:kern w:val="0"/>
                <w:szCs w:val="21"/>
                <w:highlight w:val="none"/>
                <w:u w:val="single"/>
              </w:rPr>
            </w:pPr>
          </w:p>
        </w:tc>
        <w:tc>
          <w:tcPr>
            <w:tcW w:w="4459" w:type="dxa"/>
            <w:noWrap w:val="0"/>
            <w:vAlign w:val="center"/>
          </w:tcPr>
          <w:p>
            <w:pPr>
              <w:spacing w:line="340" w:lineRule="exact"/>
              <w:rPr>
                <w:rFonts w:hint="eastAsia" w:ascii="宋体" w:hAnsi="宋体" w:cs="宋体"/>
                <w:highlight w:val="none"/>
              </w:rPr>
            </w:pPr>
            <w:r>
              <w:rPr>
                <w:rFonts w:hint="eastAsia" w:ascii="宋体" w:hAnsi="宋体" w:cs="宋体"/>
                <w:highlight w:val="none"/>
              </w:rPr>
              <w:t>满足招标文件商务条款要求</w:t>
            </w:r>
            <w:r>
              <w:rPr>
                <w:rFonts w:hint="eastAsia" w:ascii="宋体" w:hAnsi="宋体" w:cs="宋体"/>
                <w:szCs w:val="21"/>
                <w:highlight w:val="none"/>
                <w:shd w:val="clear" w:color="auto" w:fill="FFFFFF"/>
              </w:rPr>
              <w:t>，得6.0（不含）～8.0（含）分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6" w:type="dxa"/>
            <w:vMerge w:val="continue"/>
            <w:noWrap w:val="0"/>
            <w:vAlign w:val="center"/>
          </w:tcPr>
          <w:p>
            <w:pPr>
              <w:spacing w:line="288" w:lineRule="auto"/>
              <w:jc w:val="center"/>
              <w:rPr>
                <w:rFonts w:hint="eastAsia" w:ascii="宋体" w:hAnsi="宋体" w:cs="宋体"/>
                <w:kern w:val="0"/>
                <w:szCs w:val="21"/>
                <w:highlight w:val="none"/>
              </w:rPr>
            </w:pPr>
          </w:p>
        </w:tc>
        <w:tc>
          <w:tcPr>
            <w:tcW w:w="1029" w:type="dxa"/>
            <w:vMerge w:val="continue"/>
            <w:noWrap w:val="0"/>
            <w:vAlign w:val="center"/>
          </w:tcPr>
          <w:p>
            <w:pPr>
              <w:spacing w:line="288" w:lineRule="auto"/>
              <w:jc w:val="center"/>
              <w:rPr>
                <w:rFonts w:hint="eastAsia" w:ascii="宋体" w:hAnsi="宋体" w:cs="宋体"/>
                <w:kern w:val="0"/>
                <w:szCs w:val="21"/>
                <w:highlight w:val="none"/>
              </w:rPr>
            </w:pPr>
          </w:p>
        </w:tc>
        <w:tc>
          <w:tcPr>
            <w:tcW w:w="1919" w:type="dxa"/>
            <w:vMerge w:val="continue"/>
            <w:noWrap w:val="0"/>
            <w:vAlign w:val="center"/>
          </w:tcPr>
          <w:p>
            <w:pPr>
              <w:adjustRightInd w:val="0"/>
              <w:snapToGrid w:val="0"/>
              <w:spacing w:line="288" w:lineRule="auto"/>
              <w:jc w:val="center"/>
              <w:rPr>
                <w:rFonts w:hint="eastAsia" w:ascii="宋体" w:hAnsi="宋体" w:cs="宋体"/>
                <w:szCs w:val="21"/>
                <w:highlight w:val="none"/>
              </w:rPr>
            </w:pPr>
          </w:p>
        </w:tc>
        <w:tc>
          <w:tcPr>
            <w:tcW w:w="851" w:type="dxa"/>
            <w:vMerge w:val="continue"/>
            <w:noWrap w:val="0"/>
            <w:vAlign w:val="center"/>
          </w:tcPr>
          <w:p>
            <w:pPr>
              <w:spacing w:line="288" w:lineRule="auto"/>
              <w:jc w:val="center"/>
              <w:rPr>
                <w:rFonts w:hint="eastAsia" w:ascii="宋体" w:hAnsi="宋体" w:cs="宋体"/>
                <w:kern w:val="0"/>
                <w:szCs w:val="21"/>
                <w:highlight w:val="none"/>
                <w:u w:val="single"/>
              </w:rPr>
            </w:pPr>
          </w:p>
        </w:tc>
        <w:tc>
          <w:tcPr>
            <w:tcW w:w="4459" w:type="dxa"/>
            <w:noWrap w:val="0"/>
            <w:vAlign w:val="center"/>
          </w:tcPr>
          <w:p>
            <w:pPr>
              <w:spacing w:line="340" w:lineRule="exact"/>
              <w:rPr>
                <w:rFonts w:hint="eastAsia" w:ascii="宋体" w:hAnsi="宋体" w:cs="宋体"/>
                <w:highlight w:val="none"/>
              </w:rPr>
            </w:pPr>
            <w:r>
              <w:rPr>
                <w:rFonts w:hint="eastAsia" w:ascii="宋体" w:hAnsi="宋体" w:cs="宋体"/>
                <w:szCs w:val="21"/>
                <w:highlight w:val="none"/>
                <w:shd w:val="clear" w:color="auto" w:fill="FFFFFF"/>
              </w:rPr>
              <w:t>优于招标文件商务条款要求，得8.0（不含）～10.0分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6" w:type="dxa"/>
            <w:vMerge w:val="continue"/>
            <w:noWrap w:val="0"/>
            <w:vAlign w:val="center"/>
          </w:tcPr>
          <w:p>
            <w:pPr>
              <w:spacing w:line="288" w:lineRule="auto"/>
              <w:jc w:val="center"/>
              <w:rPr>
                <w:rFonts w:hint="eastAsia" w:ascii="宋体" w:hAnsi="宋体" w:cs="宋体"/>
                <w:kern w:val="0"/>
                <w:szCs w:val="21"/>
                <w:highlight w:val="none"/>
              </w:rPr>
            </w:pPr>
          </w:p>
        </w:tc>
        <w:tc>
          <w:tcPr>
            <w:tcW w:w="1029" w:type="dxa"/>
            <w:vMerge w:val="continue"/>
            <w:noWrap w:val="0"/>
            <w:vAlign w:val="center"/>
          </w:tcPr>
          <w:p>
            <w:pPr>
              <w:spacing w:line="288" w:lineRule="auto"/>
              <w:jc w:val="center"/>
              <w:rPr>
                <w:rFonts w:hint="eastAsia" w:ascii="宋体" w:hAnsi="宋体" w:cs="宋体"/>
                <w:kern w:val="0"/>
                <w:szCs w:val="21"/>
                <w:highlight w:val="none"/>
              </w:rPr>
            </w:pPr>
          </w:p>
        </w:tc>
        <w:tc>
          <w:tcPr>
            <w:tcW w:w="1919" w:type="dxa"/>
            <w:vMerge w:val="restart"/>
            <w:noWrap w:val="0"/>
            <w:vAlign w:val="center"/>
          </w:tcPr>
          <w:p>
            <w:pPr>
              <w:adjustRightInd w:val="0"/>
              <w:snapToGrid w:val="0"/>
              <w:spacing w:line="288" w:lineRule="auto"/>
              <w:jc w:val="center"/>
              <w:rPr>
                <w:rFonts w:hint="eastAsia" w:ascii="宋体" w:hAnsi="宋体" w:cs="宋体"/>
                <w:szCs w:val="21"/>
                <w:highlight w:val="none"/>
              </w:rPr>
            </w:pPr>
            <w:r>
              <w:rPr>
                <w:rFonts w:hint="eastAsia" w:ascii="宋体" w:hAnsi="宋体" w:cs="宋体"/>
                <w:szCs w:val="21"/>
                <w:highlight w:val="none"/>
              </w:rPr>
              <w:t>业绩</w:t>
            </w:r>
          </w:p>
        </w:tc>
        <w:tc>
          <w:tcPr>
            <w:tcW w:w="851" w:type="dxa"/>
            <w:vMerge w:val="restart"/>
            <w:noWrap w:val="0"/>
            <w:vAlign w:val="center"/>
          </w:tcPr>
          <w:p>
            <w:pPr>
              <w:spacing w:line="288" w:lineRule="auto"/>
              <w:jc w:val="center"/>
              <w:rPr>
                <w:rFonts w:hint="eastAsia" w:ascii="宋体" w:hAnsi="宋体" w:cs="宋体"/>
                <w:szCs w:val="21"/>
                <w:highlight w:val="none"/>
              </w:rPr>
            </w:pPr>
            <w:r>
              <w:rPr>
                <w:rFonts w:hint="eastAsia" w:ascii="宋体" w:hAnsi="宋体" w:cs="宋体"/>
                <w:kern w:val="0"/>
                <w:szCs w:val="21"/>
                <w:highlight w:val="none"/>
                <w:u w:val="single"/>
              </w:rPr>
              <w:t>10</w:t>
            </w:r>
            <w:r>
              <w:rPr>
                <w:rFonts w:hint="eastAsia" w:ascii="宋体" w:hAnsi="宋体" w:cs="宋体"/>
                <w:kern w:val="0"/>
                <w:szCs w:val="21"/>
                <w:highlight w:val="none"/>
              </w:rPr>
              <w:t>分</w:t>
            </w:r>
          </w:p>
        </w:tc>
        <w:tc>
          <w:tcPr>
            <w:tcW w:w="4459" w:type="dxa"/>
            <w:noWrap w:val="0"/>
            <w:vAlign w:val="center"/>
          </w:tcPr>
          <w:p>
            <w:pPr>
              <w:ind w:right="113"/>
              <w:rPr>
                <w:rFonts w:hint="eastAsia" w:ascii="宋体" w:hAnsi="宋体" w:cs="宋体"/>
                <w:szCs w:val="21"/>
                <w:highlight w:val="none"/>
              </w:rPr>
            </w:pPr>
            <w:r>
              <w:rPr>
                <w:rFonts w:hint="eastAsia" w:ascii="宋体" w:hAnsi="宋体" w:cs="宋体"/>
                <w:highlight w:val="none"/>
              </w:rPr>
              <w:t>满足资格审查条件(业绩最低要求)得6分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16" w:type="dxa"/>
            <w:vMerge w:val="continue"/>
            <w:noWrap w:val="0"/>
            <w:vAlign w:val="center"/>
          </w:tcPr>
          <w:p>
            <w:pPr>
              <w:spacing w:line="288" w:lineRule="auto"/>
              <w:jc w:val="center"/>
              <w:rPr>
                <w:rFonts w:hint="eastAsia" w:ascii="宋体" w:hAnsi="宋体" w:cs="宋体"/>
                <w:kern w:val="0"/>
                <w:szCs w:val="21"/>
                <w:highlight w:val="none"/>
              </w:rPr>
            </w:pPr>
          </w:p>
        </w:tc>
        <w:tc>
          <w:tcPr>
            <w:tcW w:w="1029" w:type="dxa"/>
            <w:vMerge w:val="continue"/>
            <w:noWrap w:val="0"/>
            <w:vAlign w:val="center"/>
          </w:tcPr>
          <w:p>
            <w:pPr>
              <w:spacing w:line="288" w:lineRule="auto"/>
              <w:jc w:val="center"/>
              <w:rPr>
                <w:rFonts w:hint="eastAsia" w:ascii="宋体" w:hAnsi="宋体" w:cs="宋体"/>
                <w:kern w:val="0"/>
                <w:szCs w:val="21"/>
                <w:highlight w:val="none"/>
              </w:rPr>
            </w:pPr>
          </w:p>
        </w:tc>
        <w:tc>
          <w:tcPr>
            <w:tcW w:w="1919" w:type="dxa"/>
            <w:vMerge w:val="continue"/>
            <w:noWrap w:val="0"/>
            <w:vAlign w:val="center"/>
          </w:tcPr>
          <w:p>
            <w:pPr>
              <w:adjustRightInd w:val="0"/>
              <w:snapToGrid w:val="0"/>
              <w:spacing w:line="288" w:lineRule="auto"/>
              <w:jc w:val="center"/>
              <w:rPr>
                <w:rFonts w:hint="eastAsia" w:ascii="宋体" w:hAnsi="宋体" w:cs="宋体"/>
                <w:szCs w:val="21"/>
                <w:highlight w:val="none"/>
              </w:rPr>
            </w:pPr>
          </w:p>
        </w:tc>
        <w:tc>
          <w:tcPr>
            <w:tcW w:w="851" w:type="dxa"/>
            <w:vMerge w:val="continue"/>
            <w:noWrap w:val="0"/>
            <w:vAlign w:val="center"/>
          </w:tcPr>
          <w:p>
            <w:pPr>
              <w:spacing w:line="288" w:lineRule="auto"/>
              <w:jc w:val="center"/>
              <w:rPr>
                <w:rFonts w:hint="eastAsia" w:ascii="宋体" w:hAnsi="宋体" w:cs="宋体"/>
                <w:szCs w:val="21"/>
                <w:highlight w:val="none"/>
              </w:rPr>
            </w:pPr>
          </w:p>
        </w:tc>
        <w:tc>
          <w:tcPr>
            <w:tcW w:w="4459" w:type="dxa"/>
            <w:noWrap w:val="0"/>
            <w:vAlign w:val="center"/>
          </w:tcPr>
          <w:p>
            <w:pPr>
              <w:ind w:right="113"/>
              <w:rPr>
                <w:rFonts w:hint="eastAsia" w:ascii="宋体" w:hAnsi="宋体" w:cs="宋体"/>
                <w:szCs w:val="21"/>
                <w:highlight w:val="none"/>
              </w:rPr>
            </w:pPr>
            <w:r>
              <w:rPr>
                <w:rFonts w:hint="eastAsia" w:ascii="宋体" w:hAnsi="宋体" w:cs="宋体"/>
                <w:szCs w:val="21"/>
                <w:highlight w:val="none"/>
              </w:rPr>
              <w:t>每增加1辆所投品类的所投品牌</w:t>
            </w:r>
            <w:r>
              <w:rPr>
                <w:rFonts w:hint="eastAsia" w:ascii="宋体" w:hAnsi="宋体" w:cs="宋体"/>
                <w:highlight w:val="none"/>
              </w:rPr>
              <w:t>车辆</w:t>
            </w:r>
            <w:r>
              <w:rPr>
                <w:rFonts w:hint="eastAsia" w:ascii="宋体" w:hAnsi="宋体" w:cs="宋体"/>
                <w:szCs w:val="21"/>
                <w:highlight w:val="none"/>
              </w:rPr>
              <w:t>供货业绩加1分，最多加4分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6" w:type="dxa"/>
            <w:vMerge w:val="restart"/>
            <w:noWrap w:val="0"/>
            <w:vAlign w:val="center"/>
          </w:tcPr>
          <w:p>
            <w:pPr>
              <w:spacing w:line="288" w:lineRule="auto"/>
              <w:jc w:val="center"/>
              <w:rPr>
                <w:rFonts w:hint="eastAsia" w:ascii="宋体" w:hAnsi="宋体" w:cs="宋体"/>
                <w:szCs w:val="21"/>
                <w:highlight w:val="none"/>
              </w:rPr>
            </w:pPr>
            <w:r>
              <w:rPr>
                <w:rFonts w:hint="eastAsia" w:ascii="宋体" w:hAnsi="宋体" w:cs="宋体"/>
                <w:kern w:val="0"/>
                <w:szCs w:val="21"/>
                <w:highlight w:val="none"/>
              </w:rPr>
              <w:t>2.2.4(2)</w:t>
            </w:r>
          </w:p>
        </w:tc>
        <w:tc>
          <w:tcPr>
            <w:tcW w:w="1029" w:type="dxa"/>
            <w:vMerge w:val="restart"/>
            <w:noWrap w:val="0"/>
            <w:vAlign w:val="center"/>
          </w:tcPr>
          <w:p>
            <w:pPr>
              <w:spacing w:line="288" w:lineRule="auto"/>
              <w:jc w:val="center"/>
              <w:rPr>
                <w:rFonts w:hint="eastAsia" w:ascii="宋体" w:hAnsi="宋体" w:cs="宋体"/>
                <w:szCs w:val="21"/>
                <w:highlight w:val="none"/>
              </w:rPr>
            </w:pPr>
            <w:r>
              <w:rPr>
                <w:rFonts w:hint="eastAsia" w:ascii="宋体" w:hAnsi="宋体" w:cs="宋体"/>
                <w:kern w:val="0"/>
                <w:szCs w:val="21"/>
                <w:highlight w:val="none"/>
              </w:rPr>
              <w:t>技术评分标准</w:t>
            </w:r>
          </w:p>
        </w:tc>
        <w:tc>
          <w:tcPr>
            <w:tcW w:w="1919" w:type="dxa"/>
            <w:vMerge w:val="restart"/>
            <w:noWrap w:val="0"/>
            <w:vAlign w:val="center"/>
          </w:tcPr>
          <w:p>
            <w:pPr>
              <w:spacing w:line="288" w:lineRule="auto"/>
              <w:jc w:val="center"/>
              <w:rPr>
                <w:rFonts w:hint="eastAsia" w:ascii="宋体" w:hAnsi="宋体" w:cs="宋体"/>
                <w:szCs w:val="21"/>
                <w:highlight w:val="none"/>
              </w:rPr>
            </w:pPr>
            <w:r>
              <w:rPr>
                <w:rFonts w:hint="eastAsia" w:ascii="宋体" w:hAnsi="宋体" w:cs="宋体"/>
                <w:szCs w:val="21"/>
                <w:highlight w:val="none"/>
              </w:rPr>
              <w:t>投标设备技术性能指标的响应程度</w:t>
            </w:r>
          </w:p>
        </w:tc>
        <w:tc>
          <w:tcPr>
            <w:tcW w:w="851" w:type="dxa"/>
            <w:vMerge w:val="restart"/>
            <w:noWrap w:val="0"/>
            <w:vAlign w:val="center"/>
          </w:tcPr>
          <w:p>
            <w:pPr>
              <w:spacing w:line="288" w:lineRule="auto"/>
              <w:jc w:val="center"/>
              <w:rPr>
                <w:rFonts w:hint="eastAsia" w:ascii="宋体" w:hAnsi="宋体" w:cs="宋体"/>
                <w:szCs w:val="21"/>
                <w:highlight w:val="none"/>
              </w:rPr>
            </w:pPr>
            <w:r>
              <w:rPr>
                <w:rFonts w:hint="eastAsia" w:ascii="宋体" w:hAnsi="宋体" w:cs="宋体"/>
                <w:kern w:val="0"/>
                <w:szCs w:val="21"/>
                <w:highlight w:val="none"/>
                <w:u w:val="single"/>
              </w:rPr>
              <w:t>10</w:t>
            </w:r>
            <w:r>
              <w:rPr>
                <w:rFonts w:hint="eastAsia" w:ascii="宋体" w:hAnsi="宋体" w:cs="宋体"/>
                <w:kern w:val="0"/>
                <w:szCs w:val="21"/>
                <w:highlight w:val="none"/>
              </w:rPr>
              <w:t>分</w:t>
            </w:r>
          </w:p>
        </w:tc>
        <w:tc>
          <w:tcPr>
            <w:tcW w:w="4459" w:type="dxa"/>
            <w:noWrap w:val="0"/>
            <w:vAlign w:val="center"/>
          </w:tcPr>
          <w:p>
            <w:pPr>
              <w:spacing w:line="340" w:lineRule="exact"/>
              <w:rPr>
                <w:rFonts w:hint="eastAsia" w:ascii="宋体" w:hAnsi="宋体" w:cs="宋体"/>
                <w:szCs w:val="21"/>
                <w:highlight w:val="none"/>
              </w:rPr>
            </w:pPr>
            <w:r>
              <w:rPr>
                <w:rFonts w:hint="eastAsia" w:ascii="宋体" w:hAnsi="宋体" w:cs="宋体"/>
                <w:szCs w:val="21"/>
                <w:highlight w:val="none"/>
              </w:rPr>
              <w:t>一般，得6.0分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6" w:type="dxa"/>
            <w:vMerge w:val="continue"/>
            <w:noWrap w:val="0"/>
            <w:vAlign w:val="center"/>
          </w:tcPr>
          <w:p>
            <w:pPr>
              <w:spacing w:line="288" w:lineRule="auto"/>
              <w:jc w:val="center"/>
              <w:rPr>
                <w:rFonts w:hint="eastAsia" w:ascii="宋体" w:hAnsi="宋体" w:cs="宋体"/>
                <w:kern w:val="0"/>
                <w:szCs w:val="21"/>
                <w:highlight w:val="none"/>
              </w:rPr>
            </w:pPr>
          </w:p>
        </w:tc>
        <w:tc>
          <w:tcPr>
            <w:tcW w:w="1029" w:type="dxa"/>
            <w:vMerge w:val="continue"/>
            <w:noWrap w:val="0"/>
            <w:vAlign w:val="center"/>
          </w:tcPr>
          <w:p>
            <w:pPr>
              <w:spacing w:line="288" w:lineRule="auto"/>
              <w:jc w:val="center"/>
              <w:rPr>
                <w:rFonts w:hint="eastAsia" w:ascii="宋体" w:hAnsi="宋体" w:cs="宋体"/>
                <w:kern w:val="0"/>
                <w:szCs w:val="21"/>
                <w:highlight w:val="none"/>
              </w:rPr>
            </w:pPr>
          </w:p>
        </w:tc>
        <w:tc>
          <w:tcPr>
            <w:tcW w:w="1919" w:type="dxa"/>
            <w:vMerge w:val="continue"/>
            <w:noWrap w:val="0"/>
            <w:vAlign w:val="center"/>
          </w:tcPr>
          <w:p>
            <w:pPr>
              <w:spacing w:line="288" w:lineRule="auto"/>
              <w:jc w:val="center"/>
              <w:rPr>
                <w:rFonts w:hint="eastAsia" w:ascii="宋体" w:hAnsi="宋体" w:cs="宋体"/>
                <w:szCs w:val="21"/>
                <w:highlight w:val="none"/>
              </w:rPr>
            </w:pPr>
          </w:p>
        </w:tc>
        <w:tc>
          <w:tcPr>
            <w:tcW w:w="851" w:type="dxa"/>
            <w:vMerge w:val="continue"/>
            <w:noWrap w:val="0"/>
            <w:vAlign w:val="center"/>
          </w:tcPr>
          <w:p>
            <w:pPr>
              <w:spacing w:line="288" w:lineRule="auto"/>
              <w:jc w:val="center"/>
              <w:rPr>
                <w:rFonts w:hint="eastAsia" w:ascii="宋体" w:hAnsi="宋体" w:cs="宋体"/>
                <w:kern w:val="0"/>
                <w:szCs w:val="21"/>
                <w:highlight w:val="none"/>
                <w:u w:val="single"/>
              </w:rPr>
            </w:pPr>
          </w:p>
        </w:tc>
        <w:tc>
          <w:tcPr>
            <w:tcW w:w="4459" w:type="dxa"/>
            <w:noWrap w:val="0"/>
            <w:vAlign w:val="center"/>
          </w:tcPr>
          <w:p>
            <w:pPr>
              <w:spacing w:line="340" w:lineRule="exact"/>
              <w:rPr>
                <w:rFonts w:hint="eastAsia" w:ascii="宋体" w:hAnsi="宋体" w:cs="宋体"/>
                <w:highlight w:val="none"/>
              </w:rPr>
            </w:pPr>
            <w:r>
              <w:rPr>
                <w:rFonts w:hint="eastAsia" w:ascii="宋体" w:hAnsi="宋体" w:cs="宋体"/>
                <w:highlight w:val="none"/>
              </w:rPr>
              <w:t>满足招标文件技术条款要求</w:t>
            </w:r>
            <w:r>
              <w:rPr>
                <w:rFonts w:hint="eastAsia" w:ascii="宋体" w:hAnsi="宋体" w:cs="宋体"/>
                <w:szCs w:val="21"/>
                <w:highlight w:val="none"/>
                <w:shd w:val="clear" w:color="auto" w:fill="FFFFFF"/>
              </w:rPr>
              <w:t>，得6.0（不含）～8.0（含）分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6" w:type="dxa"/>
            <w:vMerge w:val="continue"/>
            <w:noWrap w:val="0"/>
            <w:vAlign w:val="center"/>
          </w:tcPr>
          <w:p>
            <w:pPr>
              <w:spacing w:line="288" w:lineRule="auto"/>
              <w:jc w:val="center"/>
              <w:rPr>
                <w:rFonts w:hint="eastAsia" w:ascii="宋体" w:hAnsi="宋体" w:cs="宋体"/>
                <w:kern w:val="0"/>
                <w:szCs w:val="21"/>
                <w:highlight w:val="none"/>
              </w:rPr>
            </w:pPr>
          </w:p>
        </w:tc>
        <w:tc>
          <w:tcPr>
            <w:tcW w:w="1029" w:type="dxa"/>
            <w:vMerge w:val="continue"/>
            <w:noWrap w:val="0"/>
            <w:vAlign w:val="center"/>
          </w:tcPr>
          <w:p>
            <w:pPr>
              <w:spacing w:line="288" w:lineRule="auto"/>
              <w:jc w:val="center"/>
              <w:rPr>
                <w:rFonts w:hint="eastAsia" w:ascii="宋体" w:hAnsi="宋体" w:cs="宋体"/>
                <w:kern w:val="0"/>
                <w:szCs w:val="21"/>
                <w:highlight w:val="none"/>
              </w:rPr>
            </w:pPr>
          </w:p>
        </w:tc>
        <w:tc>
          <w:tcPr>
            <w:tcW w:w="1919" w:type="dxa"/>
            <w:vMerge w:val="continue"/>
            <w:noWrap w:val="0"/>
            <w:vAlign w:val="center"/>
          </w:tcPr>
          <w:p>
            <w:pPr>
              <w:spacing w:line="288" w:lineRule="auto"/>
              <w:jc w:val="center"/>
              <w:rPr>
                <w:rFonts w:hint="eastAsia" w:ascii="宋体" w:hAnsi="宋体" w:cs="宋体"/>
                <w:szCs w:val="21"/>
                <w:highlight w:val="none"/>
              </w:rPr>
            </w:pPr>
          </w:p>
        </w:tc>
        <w:tc>
          <w:tcPr>
            <w:tcW w:w="851" w:type="dxa"/>
            <w:vMerge w:val="continue"/>
            <w:noWrap w:val="0"/>
            <w:vAlign w:val="center"/>
          </w:tcPr>
          <w:p>
            <w:pPr>
              <w:spacing w:line="288" w:lineRule="auto"/>
              <w:jc w:val="center"/>
              <w:rPr>
                <w:rFonts w:hint="eastAsia" w:ascii="宋体" w:hAnsi="宋体" w:cs="宋体"/>
                <w:kern w:val="0"/>
                <w:szCs w:val="21"/>
                <w:highlight w:val="none"/>
                <w:u w:val="single"/>
              </w:rPr>
            </w:pPr>
          </w:p>
        </w:tc>
        <w:tc>
          <w:tcPr>
            <w:tcW w:w="4459" w:type="dxa"/>
            <w:noWrap w:val="0"/>
            <w:vAlign w:val="center"/>
          </w:tcPr>
          <w:p>
            <w:pPr>
              <w:spacing w:line="340" w:lineRule="exact"/>
              <w:rPr>
                <w:rFonts w:hint="eastAsia" w:ascii="宋体" w:hAnsi="宋体" w:cs="宋体"/>
                <w:highlight w:val="none"/>
              </w:rPr>
            </w:pPr>
            <w:r>
              <w:rPr>
                <w:rFonts w:hint="eastAsia" w:ascii="宋体" w:hAnsi="宋体" w:cs="宋体"/>
                <w:szCs w:val="21"/>
                <w:highlight w:val="none"/>
                <w:shd w:val="clear" w:color="auto" w:fill="FFFFFF"/>
              </w:rPr>
              <w:t>优于招标文件技术条款要求，得8.0（不含）～10.0分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16" w:type="dxa"/>
            <w:vMerge w:val="continue"/>
            <w:noWrap w:val="0"/>
            <w:vAlign w:val="center"/>
          </w:tcPr>
          <w:p>
            <w:pPr>
              <w:spacing w:line="288" w:lineRule="auto"/>
              <w:jc w:val="center"/>
              <w:rPr>
                <w:rFonts w:hint="eastAsia" w:ascii="宋体" w:hAnsi="宋体" w:cs="宋体"/>
                <w:kern w:val="0"/>
                <w:szCs w:val="21"/>
                <w:highlight w:val="none"/>
              </w:rPr>
            </w:pPr>
          </w:p>
        </w:tc>
        <w:tc>
          <w:tcPr>
            <w:tcW w:w="1029" w:type="dxa"/>
            <w:vMerge w:val="continue"/>
            <w:noWrap w:val="0"/>
            <w:vAlign w:val="center"/>
          </w:tcPr>
          <w:p>
            <w:pPr>
              <w:spacing w:line="288" w:lineRule="auto"/>
              <w:jc w:val="center"/>
              <w:rPr>
                <w:rFonts w:hint="eastAsia" w:ascii="宋体" w:hAnsi="宋体" w:cs="宋体"/>
                <w:kern w:val="0"/>
                <w:szCs w:val="21"/>
                <w:highlight w:val="none"/>
              </w:rPr>
            </w:pPr>
          </w:p>
        </w:tc>
        <w:tc>
          <w:tcPr>
            <w:tcW w:w="1919" w:type="dxa"/>
            <w:vMerge w:val="restart"/>
            <w:noWrap w:val="0"/>
            <w:vAlign w:val="center"/>
          </w:tcPr>
          <w:p>
            <w:pPr>
              <w:spacing w:line="288" w:lineRule="auto"/>
              <w:jc w:val="center"/>
              <w:rPr>
                <w:rFonts w:hint="eastAsia" w:ascii="宋体" w:hAnsi="宋体" w:cs="宋体"/>
                <w:szCs w:val="21"/>
                <w:highlight w:val="none"/>
              </w:rPr>
            </w:pPr>
            <w:r>
              <w:rPr>
                <w:rFonts w:hint="eastAsia" w:ascii="宋体" w:hAnsi="宋体" w:cs="宋体"/>
                <w:szCs w:val="21"/>
                <w:highlight w:val="none"/>
              </w:rPr>
              <w:t>对投标设备整体评价</w:t>
            </w:r>
          </w:p>
        </w:tc>
        <w:tc>
          <w:tcPr>
            <w:tcW w:w="851" w:type="dxa"/>
            <w:vMerge w:val="restart"/>
            <w:noWrap w:val="0"/>
            <w:vAlign w:val="center"/>
          </w:tcPr>
          <w:p>
            <w:pPr>
              <w:spacing w:line="288" w:lineRule="auto"/>
              <w:jc w:val="center"/>
              <w:rPr>
                <w:rFonts w:hint="eastAsia" w:ascii="宋体" w:hAnsi="宋体" w:cs="宋体"/>
                <w:kern w:val="0"/>
                <w:szCs w:val="21"/>
                <w:highlight w:val="none"/>
                <w:u w:val="single"/>
              </w:rPr>
            </w:pPr>
            <w:r>
              <w:rPr>
                <w:rFonts w:hint="eastAsia" w:ascii="宋体" w:hAnsi="宋体" w:cs="宋体"/>
                <w:kern w:val="0"/>
                <w:szCs w:val="21"/>
                <w:highlight w:val="none"/>
                <w:u w:val="single"/>
              </w:rPr>
              <w:t>20</w:t>
            </w:r>
            <w:r>
              <w:rPr>
                <w:rFonts w:hint="eastAsia" w:ascii="宋体" w:hAnsi="宋体" w:cs="宋体"/>
                <w:kern w:val="0"/>
                <w:szCs w:val="21"/>
                <w:highlight w:val="none"/>
              </w:rPr>
              <w:t>分</w:t>
            </w:r>
          </w:p>
        </w:tc>
        <w:tc>
          <w:tcPr>
            <w:tcW w:w="4459" w:type="dxa"/>
            <w:noWrap w:val="0"/>
            <w:vAlign w:val="center"/>
          </w:tcPr>
          <w:p>
            <w:pPr>
              <w:spacing w:line="360" w:lineRule="exact"/>
              <w:ind w:left="113" w:right="113"/>
              <w:jc w:val="left"/>
              <w:rPr>
                <w:rFonts w:hint="eastAsia" w:ascii="宋体" w:hAnsi="宋体" w:cs="宋体"/>
                <w:szCs w:val="21"/>
                <w:highlight w:val="none"/>
              </w:rPr>
            </w:pPr>
            <w:r>
              <w:rPr>
                <w:rFonts w:hint="eastAsia" w:ascii="宋体" w:hAnsi="宋体" w:cs="宋体"/>
                <w:szCs w:val="21"/>
                <w:highlight w:val="none"/>
              </w:rPr>
              <w:t>一般，得12.0分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116" w:type="dxa"/>
            <w:vMerge w:val="continue"/>
            <w:noWrap w:val="0"/>
            <w:vAlign w:val="center"/>
          </w:tcPr>
          <w:p>
            <w:pPr>
              <w:spacing w:line="288" w:lineRule="auto"/>
              <w:jc w:val="center"/>
              <w:rPr>
                <w:rFonts w:hint="eastAsia" w:ascii="宋体" w:hAnsi="宋体" w:cs="宋体"/>
                <w:kern w:val="0"/>
                <w:szCs w:val="21"/>
                <w:highlight w:val="none"/>
              </w:rPr>
            </w:pPr>
          </w:p>
        </w:tc>
        <w:tc>
          <w:tcPr>
            <w:tcW w:w="1029" w:type="dxa"/>
            <w:vMerge w:val="continue"/>
            <w:noWrap w:val="0"/>
            <w:vAlign w:val="center"/>
          </w:tcPr>
          <w:p>
            <w:pPr>
              <w:spacing w:line="288" w:lineRule="auto"/>
              <w:jc w:val="center"/>
              <w:rPr>
                <w:rFonts w:hint="eastAsia" w:ascii="宋体" w:hAnsi="宋体" w:cs="宋体"/>
                <w:kern w:val="0"/>
                <w:szCs w:val="21"/>
                <w:highlight w:val="none"/>
              </w:rPr>
            </w:pPr>
          </w:p>
        </w:tc>
        <w:tc>
          <w:tcPr>
            <w:tcW w:w="1919" w:type="dxa"/>
            <w:vMerge w:val="continue"/>
            <w:noWrap w:val="0"/>
            <w:vAlign w:val="center"/>
          </w:tcPr>
          <w:p>
            <w:pPr>
              <w:spacing w:line="288" w:lineRule="auto"/>
              <w:jc w:val="center"/>
              <w:rPr>
                <w:rFonts w:hint="eastAsia" w:ascii="宋体" w:hAnsi="宋体" w:cs="宋体"/>
                <w:szCs w:val="21"/>
                <w:highlight w:val="none"/>
              </w:rPr>
            </w:pPr>
          </w:p>
        </w:tc>
        <w:tc>
          <w:tcPr>
            <w:tcW w:w="851" w:type="dxa"/>
            <w:vMerge w:val="continue"/>
            <w:noWrap w:val="0"/>
            <w:vAlign w:val="center"/>
          </w:tcPr>
          <w:p>
            <w:pPr>
              <w:spacing w:line="288" w:lineRule="auto"/>
              <w:jc w:val="center"/>
              <w:rPr>
                <w:rFonts w:hint="eastAsia" w:ascii="宋体" w:hAnsi="宋体" w:cs="宋体"/>
                <w:kern w:val="0"/>
                <w:szCs w:val="21"/>
                <w:highlight w:val="none"/>
                <w:u w:val="single"/>
              </w:rPr>
            </w:pPr>
          </w:p>
        </w:tc>
        <w:tc>
          <w:tcPr>
            <w:tcW w:w="4459" w:type="dxa"/>
            <w:noWrap w:val="0"/>
            <w:vAlign w:val="center"/>
          </w:tcPr>
          <w:p>
            <w:pPr>
              <w:spacing w:line="360" w:lineRule="exact"/>
              <w:ind w:left="113" w:right="113"/>
              <w:jc w:val="left"/>
              <w:rPr>
                <w:rFonts w:hint="eastAsia" w:ascii="宋体" w:hAnsi="宋体" w:cs="宋体"/>
                <w:szCs w:val="21"/>
                <w:highlight w:val="none"/>
              </w:rPr>
            </w:pPr>
            <w:r>
              <w:rPr>
                <w:rFonts w:hint="eastAsia" w:ascii="宋体" w:hAnsi="宋体" w:cs="宋体"/>
                <w:szCs w:val="21"/>
                <w:highlight w:val="none"/>
              </w:rPr>
              <w:t>满足招标文件要求，设备整体性能较好，得12.0（不含）～16.0（含）分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116" w:type="dxa"/>
            <w:vMerge w:val="continue"/>
            <w:noWrap w:val="0"/>
            <w:vAlign w:val="center"/>
          </w:tcPr>
          <w:p>
            <w:pPr>
              <w:spacing w:line="288" w:lineRule="auto"/>
              <w:jc w:val="center"/>
              <w:rPr>
                <w:rFonts w:hint="eastAsia" w:ascii="宋体" w:hAnsi="宋体" w:cs="宋体"/>
                <w:kern w:val="0"/>
                <w:szCs w:val="21"/>
                <w:highlight w:val="none"/>
              </w:rPr>
            </w:pPr>
          </w:p>
        </w:tc>
        <w:tc>
          <w:tcPr>
            <w:tcW w:w="1029" w:type="dxa"/>
            <w:vMerge w:val="continue"/>
            <w:noWrap w:val="0"/>
            <w:vAlign w:val="center"/>
          </w:tcPr>
          <w:p>
            <w:pPr>
              <w:spacing w:line="288" w:lineRule="auto"/>
              <w:jc w:val="center"/>
              <w:rPr>
                <w:rFonts w:hint="eastAsia" w:ascii="宋体" w:hAnsi="宋体" w:cs="宋体"/>
                <w:kern w:val="0"/>
                <w:szCs w:val="21"/>
                <w:highlight w:val="none"/>
              </w:rPr>
            </w:pPr>
          </w:p>
        </w:tc>
        <w:tc>
          <w:tcPr>
            <w:tcW w:w="1919" w:type="dxa"/>
            <w:vMerge w:val="continue"/>
            <w:noWrap w:val="0"/>
            <w:vAlign w:val="center"/>
          </w:tcPr>
          <w:p>
            <w:pPr>
              <w:spacing w:line="288" w:lineRule="auto"/>
              <w:jc w:val="center"/>
              <w:rPr>
                <w:rFonts w:hint="eastAsia" w:ascii="宋体" w:hAnsi="宋体" w:cs="宋体"/>
                <w:szCs w:val="21"/>
                <w:highlight w:val="none"/>
              </w:rPr>
            </w:pPr>
          </w:p>
        </w:tc>
        <w:tc>
          <w:tcPr>
            <w:tcW w:w="851" w:type="dxa"/>
            <w:vMerge w:val="continue"/>
            <w:noWrap w:val="0"/>
            <w:vAlign w:val="center"/>
          </w:tcPr>
          <w:p>
            <w:pPr>
              <w:spacing w:line="288" w:lineRule="auto"/>
              <w:jc w:val="center"/>
              <w:rPr>
                <w:rFonts w:hint="eastAsia" w:ascii="宋体" w:hAnsi="宋体" w:cs="宋体"/>
                <w:kern w:val="0"/>
                <w:szCs w:val="21"/>
                <w:highlight w:val="none"/>
                <w:u w:val="single"/>
              </w:rPr>
            </w:pPr>
          </w:p>
        </w:tc>
        <w:tc>
          <w:tcPr>
            <w:tcW w:w="4459" w:type="dxa"/>
            <w:noWrap w:val="0"/>
            <w:vAlign w:val="center"/>
          </w:tcPr>
          <w:p>
            <w:pPr>
              <w:spacing w:line="360" w:lineRule="exact"/>
              <w:ind w:left="113" w:right="113"/>
              <w:jc w:val="left"/>
              <w:rPr>
                <w:rFonts w:hint="eastAsia" w:ascii="宋体" w:hAnsi="宋体" w:cs="宋体"/>
                <w:szCs w:val="21"/>
                <w:highlight w:val="none"/>
              </w:rPr>
            </w:pPr>
            <w:r>
              <w:rPr>
                <w:rFonts w:hint="eastAsia" w:ascii="宋体" w:hAnsi="宋体" w:cs="宋体"/>
                <w:szCs w:val="21"/>
                <w:highlight w:val="none"/>
              </w:rPr>
              <w:t>优于招标文件要求，设备整体性能优越，得16.0（不含）～20.0分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16" w:type="dxa"/>
            <w:vMerge w:val="continue"/>
            <w:noWrap w:val="0"/>
            <w:vAlign w:val="center"/>
          </w:tcPr>
          <w:p>
            <w:pPr>
              <w:spacing w:line="288" w:lineRule="auto"/>
              <w:jc w:val="center"/>
              <w:rPr>
                <w:rFonts w:hint="eastAsia" w:ascii="宋体" w:hAnsi="宋体" w:cs="宋体"/>
                <w:kern w:val="0"/>
                <w:szCs w:val="21"/>
                <w:highlight w:val="none"/>
              </w:rPr>
            </w:pPr>
          </w:p>
        </w:tc>
        <w:tc>
          <w:tcPr>
            <w:tcW w:w="1029" w:type="dxa"/>
            <w:vMerge w:val="continue"/>
            <w:noWrap w:val="0"/>
            <w:vAlign w:val="center"/>
          </w:tcPr>
          <w:p>
            <w:pPr>
              <w:spacing w:line="288" w:lineRule="auto"/>
              <w:jc w:val="center"/>
              <w:rPr>
                <w:rFonts w:hint="eastAsia" w:ascii="宋体" w:hAnsi="宋体" w:cs="宋体"/>
                <w:kern w:val="0"/>
                <w:szCs w:val="21"/>
                <w:highlight w:val="none"/>
              </w:rPr>
            </w:pPr>
          </w:p>
        </w:tc>
        <w:tc>
          <w:tcPr>
            <w:tcW w:w="1919" w:type="dxa"/>
            <w:vMerge w:val="restart"/>
            <w:noWrap w:val="0"/>
            <w:vAlign w:val="center"/>
          </w:tcPr>
          <w:p>
            <w:pPr>
              <w:spacing w:line="288" w:lineRule="auto"/>
              <w:jc w:val="center"/>
              <w:rPr>
                <w:rFonts w:hint="eastAsia" w:ascii="宋体" w:hAnsi="宋体" w:cs="宋体"/>
                <w:szCs w:val="21"/>
                <w:highlight w:val="none"/>
              </w:rPr>
            </w:pPr>
            <w:r>
              <w:rPr>
                <w:rFonts w:hint="eastAsia" w:ascii="宋体" w:hAnsi="宋体" w:cs="宋体"/>
                <w:szCs w:val="21"/>
                <w:highlight w:val="none"/>
              </w:rPr>
              <w:t>对投标人技术服务和质保期服务能力的评价</w:t>
            </w:r>
          </w:p>
        </w:tc>
        <w:tc>
          <w:tcPr>
            <w:tcW w:w="851" w:type="dxa"/>
            <w:vMerge w:val="restart"/>
            <w:noWrap w:val="0"/>
            <w:vAlign w:val="center"/>
          </w:tcPr>
          <w:p>
            <w:pPr>
              <w:spacing w:line="288" w:lineRule="auto"/>
              <w:jc w:val="center"/>
              <w:rPr>
                <w:rFonts w:hint="eastAsia" w:ascii="宋体" w:hAnsi="宋体" w:cs="宋体"/>
                <w:kern w:val="0"/>
                <w:szCs w:val="21"/>
                <w:highlight w:val="none"/>
                <w:u w:val="single"/>
              </w:rPr>
            </w:pPr>
            <w:r>
              <w:rPr>
                <w:rFonts w:ascii="宋体" w:hAnsi="宋体" w:cs="宋体"/>
                <w:kern w:val="0"/>
                <w:szCs w:val="21"/>
                <w:highlight w:val="none"/>
                <w:u w:val="single"/>
              </w:rPr>
              <w:t>2</w:t>
            </w:r>
            <w:r>
              <w:rPr>
                <w:rFonts w:hint="eastAsia" w:ascii="宋体" w:hAnsi="宋体" w:cs="宋体"/>
                <w:kern w:val="0"/>
                <w:szCs w:val="21"/>
                <w:highlight w:val="none"/>
                <w:u w:val="single"/>
              </w:rPr>
              <w:t>0</w:t>
            </w:r>
            <w:r>
              <w:rPr>
                <w:rFonts w:hint="eastAsia" w:ascii="宋体" w:hAnsi="宋体" w:cs="宋体"/>
                <w:kern w:val="0"/>
                <w:szCs w:val="21"/>
                <w:highlight w:val="none"/>
              </w:rPr>
              <w:t>分</w:t>
            </w:r>
          </w:p>
        </w:tc>
        <w:tc>
          <w:tcPr>
            <w:tcW w:w="4459" w:type="dxa"/>
            <w:noWrap w:val="0"/>
            <w:vAlign w:val="center"/>
          </w:tcPr>
          <w:p>
            <w:pPr>
              <w:spacing w:line="360" w:lineRule="exact"/>
              <w:ind w:left="113" w:right="113"/>
              <w:rPr>
                <w:rFonts w:hint="eastAsia" w:ascii="宋体" w:hAnsi="宋体" w:cs="宋体"/>
                <w:szCs w:val="21"/>
                <w:highlight w:val="none"/>
              </w:rPr>
            </w:pPr>
            <w:r>
              <w:rPr>
                <w:rFonts w:hint="eastAsia" w:ascii="宋体" w:hAnsi="宋体" w:cs="宋体"/>
                <w:szCs w:val="21"/>
                <w:highlight w:val="none"/>
              </w:rPr>
              <w:t>售后服务体系一般，得12.0分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116" w:type="dxa"/>
            <w:vMerge w:val="continue"/>
            <w:noWrap w:val="0"/>
            <w:vAlign w:val="center"/>
          </w:tcPr>
          <w:p>
            <w:pPr>
              <w:spacing w:line="288" w:lineRule="auto"/>
              <w:jc w:val="center"/>
              <w:rPr>
                <w:rFonts w:hint="eastAsia" w:ascii="宋体" w:hAnsi="宋体" w:cs="宋体"/>
                <w:kern w:val="0"/>
                <w:szCs w:val="21"/>
                <w:highlight w:val="none"/>
              </w:rPr>
            </w:pPr>
          </w:p>
        </w:tc>
        <w:tc>
          <w:tcPr>
            <w:tcW w:w="1029" w:type="dxa"/>
            <w:vMerge w:val="continue"/>
            <w:noWrap w:val="0"/>
            <w:vAlign w:val="center"/>
          </w:tcPr>
          <w:p>
            <w:pPr>
              <w:spacing w:line="288" w:lineRule="auto"/>
              <w:jc w:val="center"/>
              <w:rPr>
                <w:rFonts w:hint="eastAsia" w:ascii="宋体" w:hAnsi="宋体" w:cs="宋体"/>
                <w:kern w:val="0"/>
                <w:szCs w:val="21"/>
                <w:highlight w:val="none"/>
              </w:rPr>
            </w:pPr>
          </w:p>
        </w:tc>
        <w:tc>
          <w:tcPr>
            <w:tcW w:w="1919" w:type="dxa"/>
            <w:vMerge w:val="continue"/>
            <w:noWrap w:val="0"/>
            <w:vAlign w:val="center"/>
          </w:tcPr>
          <w:p>
            <w:pPr>
              <w:spacing w:line="288" w:lineRule="auto"/>
              <w:jc w:val="center"/>
              <w:rPr>
                <w:rFonts w:hint="eastAsia" w:ascii="宋体" w:hAnsi="宋体" w:cs="宋体"/>
                <w:szCs w:val="21"/>
                <w:highlight w:val="none"/>
              </w:rPr>
            </w:pPr>
          </w:p>
        </w:tc>
        <w:tc>
          <w:tcPr>
            <w:tcW w:w="851" w:type="dxa"/>
            <w:vMerge w:val="continue"/>
            <w:noWrap w:val="0"/>
            <w:vAlign w:val="center"/>
          </w:tcPr>
          <w:p>
            <w:pPr>
              <w:spacing w:line="288" w:lineRule="auto"/>
              <w:jc w:val="center"/>
              <w:rPr>
                <w:rFonts w:hint="eastAsia" w:ascii="宋体" w:hAnsi="宋体" w:cs="宋体"/>
                <w:kern w:val="0"/>
                <w:szCs w:val="21"/>
                <w:highlight w:val="none"/>
                <w:u w:val="single"/>
              </w:rPr>
            </w:pPr>
          </w:p>
        </w:tc>
        <w:tc>
          <w:tcPr>
            <w:tcW w:w="4459" w:type="dxa"/>
            <w:noWrap w:val="0"/>
            <w:vAlign w:val="center"/>
          </w:tcPr>
          <w:p>
            <w:pPr>
              <w:spacing w:line="360" w:lineRule="exact"/>
              <w:ind w:left="113" w:right="113"/>
              <w:jc w:val="left"/>
              <w:rPr>
                <w:rFonts w:hint="eastAsia" w:ascii="宋体" w:hAnsi="宋体" w:cs="宋体"/>
                <w:szCs w:val="21"/>
                <w:highlight w:val="none"/>
              </w:rPr>
            </w:pPr>
            <w:r>
              <w:rPr>
                <w:rFonts w:hint="eastAsia" w:ascii="宋体" w:hAnsi="宋体" w:cs="宋体"/>
                <w:szCs w:val="21"/>
                <w:highlight w:val="none"/>
              </w:rPr>
              <w:t>售后服务体系较完备、承诺较周到，得12.0（不含）～16.0（含）分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116" w:type="dxa"/>
            <w:vMerge w:val="continue"/>
            <w:noWrap w:val="0"/>
            <w:vAlign w:val="center"/>
          </w:tcPr>
          <w:p>
            <w:pPr>
              <w:spacing w:line="288" w:lineRule="auto"/>
              <w:jc w:val="center"/>
              <w:rPr>
                <w:rFonts w:hint="eastAsia" w:ascii="宋体" w:hAnsi="宋体" w:cs="宋体"/>
                <w:kern w:val="0"/>
                <w:szCs w:val="21"/>
                <w:highlight w:val="none"/>
              </w:rPr>
            </w:pPr>
          </w:p>
        </w:tc>
        <w:tc>
          <w:tcPr>
            <w:tcW w:w="1029" w:type="dxa"/>
            <w:vMerge w:val="continue"/>
            <w:noWrap w:val="0"/>
            <w:vAlign w:val="center"/>
          </w:tcPr>
          <w:p>
            <w:pPr>
              <w:spacing w:line="288" w:lineRule="auto"/>
              <w:jc w:val="center"/>
              <w:rPr>
                <w:rFonts w:hint="eastAsia" w:ascii="宋体" w:hAnsi="宋体" w:cs="宋体"/>
                <w:kern w:val="0"/>
                <w:szCs w:val="21"/>
                <w:highlight w:val="none"/>
              </w:rPr>
            </w:pPr>
          </w:p>
        </w:tc>
        <w:tc>
          <w:tcPr>
            <w:tcW w:w="1919" w:type="dxa"/>
            <w:vMerge w:val="continue"/>
            <w:noWrap w:val="0"/>
            <w:vAlign w:val="center"/>
          </w:tcPr>
          <w:p>
            <w:pPr>
              <w:spacing w:line="288" w:lineRule="auto"/>
              <w:jc w:val="center"/>
              <w:rPr>
                <w:rFonts w:hint="eastAsia" w:ascii="宋体" w:hAnsi="宋体" w:cs="宋体"/>
                <w:szCs w:val="21"/>
                <w:highlight w:val="none"/>
              </w:rPr>
            </w:pPr>
          </w:p>
        </w:tc>
        <w:tc>
          <w:tcPr>
            <w:tcW w:w="851" w:type="dxa"/>
            <w:vMerge w:val="continue"/>
            <w:noWrap w:val="0"/>
            <w:vAlign w:val="center"/>
          </w:tcPr>
          <w:p>
            <w:pPr>
              <w:spacing w:line="288" w:lineRule="auto"/>
              <w:jc w:val="center"/>
              <w:rPr>
                <w:rFonts w:hint="eastAsia" w:ascii="宋体" w:hAnsi="宋体" w:cs="宋体"/>
                <w:kern w:val="0"/>
                <w:szCs w:val="21"/>
                <w:highlight w:val="none"/>
                <w:u w:val="single"/>
              </w:rPr>
            </w:pPr>
          </w:p>
        </w:tc>
        <w:tc>
          <w:tcPr>
            <w:tcW w:w="4459" w:type="dxa"/>
            <w:noWrap w:val="0"/>
            <w:vAlign w:val="center"/>
          </w:tcPr>
          <w:p>
            <w:pPr>
              <w:spacing w:line="360" w:lineRule="exact"/>
              <w:ind w:left="113" w:right="113"/>
              <w:jc w:val="left"/>
              <w:rPr>
                <w:rFonts w:hint="eastAsia" w:ascii="宋体" w:hAnsi="宋体" w:cs="宋体"/>
                <w:szCs w:val="21"/>
                <w:highlight w:val="none"/>
              </w:rPr>
            </w:pPr>
            <w:r>
              <w:rPr>
                <w:rFonts w:hint="eastAsia" w:ascii="宋体" w:hAnsi="宋体" w:cs="宋体"/>
                <w:szCs w:val="21"/>
                <w:highlight w:val="none"/>
              </w:rPr>
              <w:t>售后服务体系完备、承诺周到，得16.0（不含）～20.0分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116" w:type="dxa"/>
            <w:tcBorders>
              <w:bottom w:val="single" w:color="auto" w:sz="4" w:space="0"/>
            </w:tcBorders>
            <w:noWrap w:val="0"/>
            <w:vAlign w:val="center"/>
          </w:tcPr>
          <w:p>
            <w:pPr>
              <w:spacing w:line="288" w:lineRule="auto"/>
              <w:jc w:val="center"/>
              <w:rPr>
                <w:rFonts w:hint="eastAsia" w:ascii="宋体" w:hAnsi="宋体" w:cs="宋体"/>
                <w:szCs w:val="21"/>
                <w:highlight w:val="none"/>
              </w:rPr>
            </w:pPr>
            <w:r>
              <w:rPr>
                <w:rFonts w:hint="eastAsia" w:ascii="宋体" w:hAnsi="宋体" w:cs="宋体"/>
                <w:kern w:val="0"/>
                <w:szCs w:val="21"/>
                <w:highlight w:val="none"/>
              </w:rPr>
              <w:t>2.2.4(3)</w:t>
            </w:r>
          </w:p>
        </w:tc>
        <w:tc>
          <w:tcPr>
            <w:tcW w:w="1029" w:type="dxa"/>
            <w:tcBorders>
              <w:bottom w:val="single" w:color="auto" w:sz="4" w:space="0"/>
            </w:tcBorders>
            <w:noWrap w:val="0"/>
            <w:vAlign w:val="center"/>
          </w:tcPr>
          <w:p>
            <w:pPr>
              <w:spacing w:line="288" w:lineRule="auto"/>
              <w:ind w:left="126" w:hanging="126" w:hangingChars="60"/>
              <w:jc w:val="center"/>
              <w:rPr>
                <w:rFonts w:hint="eastAsia" w:ascii="宋体" w:hAnsi="宋体" w:cs="宋体"/>
                <w:kern w:val="0"/>
                <w:szCs w:val="21"/>
                <w:highlight w:val="none"/>
              </w:rPr>
            </w:pPr>
            <w:r>
              <w:rPr>
                <w:rFonts w:hint="eastAsia" w:ascii="宋体" w:hAnsi="宋体" w:cs="宋体"/>
                <w:kern w:val="0"/>
                <w:szCs w:val="21"/>
                <w:highlight w:val="none"/>
              </w:rPr>
              <w:t>评标价</w:t>
            </w:r>
          </w:p>
          <w:p>
            <w:pPr>
              <w:spacing w:line="288" w:lineRule="auto"/>
              <w:ind w:left="126" w:hanging="126" w:hangingChars="60"/>
              <w:jc w:val="center"/>
              <w:rPr>
                <w:rFonts w:hint="eastAsia" w:ascii="宋体" w:hAnsi="宋体" w:cs="宋体"/>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u w:val="single"/>
              </w:rPr>
              <w:t>30</w:t>
            </w:r>
            <w:r>
              <w:rPr>
                <w:rFonts w:hint="eastAsia" w:ascii="宋体" w:hAnsi="宋体" w:cs="宋体"/>
                <w:kern w:val="0"/>
                <w:szCs w:val="21"/>
                <w:highlight w:val="none"/>
              </w:rPr>
              <w:t>分）</w:t>
            </w:r>
          </w:p>
        </w:tc>
        <w:tc>
          <w:tcPr>
            <w:tcW w:w="7229" w:type="dxa"/>
            <w:gridSpan w:val="3"/>
            <w:tcBorders>
              <w:bottom w:val="single" w:color="auto" w:sz="4" w:space="0"/>
            </w:tcBorders>
            <w:noWrap w:val="0"/>
            <w:vAlign w:val="center"/>
          </w:tcPr>
          <w:p>
            <w:pPr>
              <w:spacing w:line="276" w:lineRule="auto"/>
              <w:rPr>
                <w:rFonts w:hint="eastAsia" w:ascii="宋体" w:hAnsi="宋体" w:cs="宋体"/>
                <w:kern w:val="0"/>
                <w:szCs w:val="21"/>
                <w:highlight w:val="none"/>
              </w:rPr>
            </w:pPr>
            <w:r>
              <w:rPr>
                <w:rFonts w:hint="eastAsia" w:ascii="宋体" w:hAnsi="宋体" w:cs="宋体"/>
                <w:kern w:val="0"/>
                <w:szCs w:val="21"/>
                <w:highlight w:val="none"/>
              </w:rPr>
              <w:t>评标价得分计算公式示例：</w:t>
            </w:r>
          </w:p>
          <w:p>
            <w:pPr>
              <w:spacing w:line="276" w:lineRule="auto"/>
              <w:ind w:firstLine="256" w:firstLineChars="122"/>
              <w:rPr>
                <w:rFonts w:hint="eastAsia" w:ascii="宋体" w:hAnsi="宋体" w:cs="宋体"/>
                <w:spacing w:val="-2"/>
                <w:kern w:val="0"/>
                <w:szCs w:val="21"/>
                <w:highlight w:val="none"/>
              </w:rPr>
            </w:pPr>
            <w:r>
              <w:rPr>
                <w:rFonts w:hint="eastAsia" w:ascii="宋体" w:hAnsi="宋体" w:cs="宋体"/>
                <w:kern w:val="0"/>
                <w:szCs w:val="21"/>
                <w:highlight w:val="none"/>
              </w:rPr>
              <w:t>(1)</w:t>
            </w:r>
            <w:r>
              <w:rPr>
                <w:rFonts w:hint="eastAsia" w:ascii="宋体" w:hAnsi="宋体" w:cs="宋体"/>
                <w:spacing w:val="-2"/>
                <w:kern w:val="0"/>
                <w:szCs w:val="21"/>
                <w:highlight w:val="none"/>
              </w:rPr>
              <w:t>如果投标人的评标价&gt;评标基准价，则评标价得分=F-偏差率×100×E</w:t>
            </w:r>
            <w:r>
              <w:rPr>
                <w:rFonts w:hint="eastAsia" w:ascii="宋体" w:hAnsi="宋体" w:cs="宋体"/>
                <w:spacing w:val="-2"/>
                <w:kern w:val="0"/>
                <w:szCs w:val="21"/>
                <w:highlight w:val="none"/>
                <w:vertAlign w:val="subscript"/>
              </w:rPr>
              <w:t>1</w:t>
            </w:r>
            <w:r>
              <w:rPr>
                <w:rFonts w:hint="eastAsia" w:ascii="宋体" w:hAnsi="宋体" w:cs="宋体"/>
                <w:spacing w:val="-2"/>
                <w:kern w:val="0"/>
                <w:szCs w:val="21"/>
                <w:highlight w:val="none"/>
              </w:rPr>
              <w:t>；</w:t>
            </w:r>
          </w:p>
          <w:p>
            <w:pPr>
              <w:spacing w:line="276" w:lineRule="auto"/>
              <w:ind w:firstLine="256" w:firstLineChars="122"/>
              <w:rPr>
                <w:rFonts w:hint="eastAsia" w:ascii="宋体" w:hAnsi="宋体" w:cs="宋体"/>
                <w:kern w:val="0"/>
                <w:szCs w:val="21"/>
                <w:highlight w:val="none"/>
              </w:rPr>
            </w:pPr>
            <w:r>
              <w:rPr>
                <w:rFonts w:hint="eastAsia" w:ascii="宋体" w:hAnsi="宋体" w:cs="宋体"/>
                <w:kern w:val="0"/>
                <w:szCs w:val="21"/>
                <w:highlight w:val="none"/>
              </w:rPr>
              <w:t>(2</w:t>
            </w:r>
            <w:r>
              <w:rPr>
                <w:rFonts w:hint="eastAsia" w:ascii="宋体" w:hAnsi="宋体" w:cs="宋体"/>
                <w:spacing w:val="-2"/>
                <w:kern w:val="0"/>
                <w:szCs w:val="21"/>
                <w:highlight w:val="none"/>
              </w:rPr>
              <w:t>)如果投标人的评标价≤评标基准价，则评标价得分=F+偏差率×100×E</w:t>
            </w:r>
            <w:r>
              <w:rPr>
                <w:rFonts w:hint="eastAsia" w:ascii="宋体" w:hAnsi="宋体" w:cs="宋体"/>
                <w:spacing w:val="-2"/>
                <w:kern w:val="0"/>
                <w:szCs w:val="21"/>
                <w:highlight w:val="none"/>
                <w:vertAlign w:val="subscript"/>
              </w:rPr>
              <w:t>2</w:t>
            </w:r>
            <w:r>
              <w:rPr>
                <w:rFonts w:hint="eastAsia" w:ascii="宋体" w:hAnsi="宋体" w:cs="宋体"/>
                <w:spacing w:val="-2"/>
                <w:kern w:val="0"/>
                <w:szCs w:val="21"/>
                <w:highlight w:val="none"/>
              </w:rPr>
              <w:t>。</w:t>
            </w:r>
          </w:p>
          <w:p>
            <w:pPr>
              <w:spacing w:line="276" w:lineRule="auto"/>
              <w:ind w:firstLine="256" w:firstLineChars="122"/>
              <w:rPr>
                <w:rFonts w:hint="eastAsia" w:ascii="宋体" w:hAnsi="宋体" w:cs="宋体"/>
                <w:kern w:val="0"/>
                <w:szCs w:val="21"/>
                <w:highlight w:val="none"/>
              </w:rPr>
            </w:pPr>
            <w:r>
              <w:rPr>
                <w:rFonts w:hint="eastAsia" w:ascii="宋体" w:hAnsi="宋体" w:cs="宋体"/>
                <w:kern w:val="0"/>
                <w:szCs w:val="21"/>
                <w:highlight w:val="none"/>
              </w:rPr>
              <w:t>其中：F=30，E</w:t>
            </w:r>
            <w:r>
              <w:rPr>
                <w:rFonts w:hint="eastAsia" w:ascii="宋体" w:hAnsi="宋体" w:cs="宋体"/>
                <w:kern w:val="0"/>
                <w:szCs w:val="21"/>
                <w:highlight w:val="none"/>
                <w:vertAlign w:val="subscript"/>
              </w:rPr>
              <w:t>1</w:t>
            </w:r>
            <w:r>
              <w:rPr>
                <w:rFonts w:hint="eastAsia" w:ascii="宋体" w:hAnsi="宋体" w:cs="宋体"/>
                <w:kern w:val="0"/>
                <w:szCs w:val="21"/>
                <w:highlight w:val="none"/>
              </w:rPr>
              <w:t>=0.2，E</w:t>
            </w:r>
            <w:r>
              <w:rPr>
                <w:rFonts w:hint="eastAsia" w:ascii="宋体" w:hAnsi="宋体" w:cs="宋体"/>
                <w:kern w:val="0"/>
                <w:szCs w:val="21"/>
                <w:highlight w:val="none"/>
                <w:vertAlign w:val="subscript"/>
              </w:rPr>
              <w:t>2</w:t>
            </w:r>
            <w:r>
              <w:rPr>
                <w:rFonts w:hint="eastAsia" w:ascii="宋体" w:hAnsi="宋体" w:cs="宋体"/>
                <w:kern w:val="0"/>
                <w:szCs w:val="21"/>
                <w:highlight w:val="none"/>
              </w:rPr>
              <w:t>=0.1。</w:t>
            </w:r>
          </w:p>
          <w:p>
            <w:pPr>
              <w:spacing w:line="276" w:lineRule="auto"/>
              <w:ind w:firstLine="256" w:firstLineChars="122"/>
              <w:rPr>
                <w:rFonts w:hint="eastAsia" w:ascii="宋体" w:hAnsi="宋体" w:cs="宋体"/>
                <w:szCs w:val="21"/>
                <w:highlight w:val="none"/>
              </w:rPr>
            </w:pPr>
            <w:r>
              <w:rPr>
                <w:rFonts w:hint="eastAsia" w:ascii="宋体" w:hAnsi="宋体" w:cs="宋体"/>
                <w:szCs w:val="21"/>
                <w:highlight w:val="none"/>
              </w:rPr>
              <w:t>投标报价最低得分为0分。评标价得分保留2位小数，评标价最低得分为0分。</w:t>
            </w:r>
          </w:p>
        </w:tc>
      </w:tr>
    </w:tbl>
    <w:p>
      <w:pPr>
        <w:adjustRightInd w:val="0"/>
        <w:spacing w:line="288" w:lineRule="auto"/>
        <w:ind w:firstLine="420" w:firstLineChars="200"/>
        <w:jc w:val="left"/>
        <w:rPr>
          <w:rFonts w:hint="eastAsia" w:ascii="宋体" w:hAnsi="宋体" w:cs="宋体"/>
          <w:szCs w:val="21"/>
          <w:highlight w:val="none"/>
        </w:rPr>
      </w:pPr>
      <w:r>
        <w:rPr>
          <w:rFonts w:hint="eastAsia" w:ascii="宋体" w:hAnsi="宋体" w:cs="宋体"/>
          <w:szCs w:val="21"/>
          <w:highlight w:val="none"/>
        </w:rPr>
        <w:t>注：1.评委打分保留一位小数，各评分因素得分应以评标委员会各成员的打分平均值确定，保留两位小数，第三位四舍五入。</w:t>
      </w:r>
    </w:p>
    <w:p>
      <w:pPr>
        <w:tabs>
          <w:tab w:val="left" w:pos="720"/>
          <w:tab w:val="left" w:pos="1680"/>
          <w:tab w:val="left" w:pos="2620"/>
        </w:tabs>
        <w:autoSpaceDE w:val="0"/>
        <w:autoSpaceDN w:val="0"/>
        <w:adjustRightInd w:val="0"/>
        <w:spacing w:line="288" w:lineRule="auto"/>
        <w:ind w:right="96" w:firstLine="424" w:firstLineChars="202"/>
        <w:rPr>
          <w:rFonts w:hint="eastAsia" w:ascii="宋体" w:hAnsi="宋体" w:cs="宋体"/>
          <w:sz w:val="24"/>
          <w:highlight w:val="none"/>
        </w:rPr>
      </w:pPr>
      <w:r>
        <w:rPr>
          <w:rFonts w:hint="eastAsia" w:ascii="宋体" w:hAnsi="宋体" w:cs="宋体"/>
          <w:szCs w:val="21"/>
          <w:highlight w:val="none"/>
        </w:rPr>
        <w:t>2.技术部分评分因素缺项则该项得0分。</w:t>
      </w:r>
    </w:p>
    <w:p>
      <w:bookmarkStart w:id="0" w:name="_GoBack"/>
      <w:bookmarkEnd w:id="0"/>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lMmMzNjViOGFjMDZiZTZkYzIxNmU3NDgxNTExNTEifQ=="/>
  </w:docVars>
  <w:rsids>
    <w:rsidRoot w:val="2A9B2F53"/>
    <w:rsid w:val="2A9B2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9"/>
    <w:pPr>
      <w:keepNext/>
      <w:keepLines/>
      <w:spacing w:before="50" w:beforeLines="50" w:line="415" w:lineRule="auto"/>
      <w:outlineLvl w:val="2"/>
    </w:pPr>
    <w:rPr>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footer"/>
    <w:basedOn w:val="1"/>
    <w:unhideWhenUsed/>
    <w:qFormat/>
    <w:uiPriority w:val="0"/>
    <w:pPr>
      <w:tabs>
        <w:tab w:val="center" w:pos="4153"/>
        <w:tab w:val="right" w:pos="8306"/>
      </w:tabs>
      <w:snapToGrid w:val="0"/>
      <w:jc w:val="left"/>
    </w:pPr>
    <w:rPr>
      <w:kern w:val="0"/>
      <w:sz w:val="18"/>
      <w:szCs w:val="18"/>
    </w:rPr>
  </w:style>
  <w:style w:type="character" w:styleId="7">
    <w:name w:val="page number"/>
    <w:qFormat/>
    <w:uiPriority w:val="0"/>
  </w:style>
  <w:style w:type="paragraph" w:customStyle="1" w:styleId="8">
    <w:name w:val="正文文本 (2)"/>
    <w:basedOn w:val="1"/>
    <w:qFormat/>
    <w:uiPriority w:val="0"/>
    <w:pPr>
      <w:shd w:val="clear" w:color="auto" w:fill="FFFFFF"/>
      <w:spacing w:before="300" w:line="439" w:lineRule="exact"/>
      <w:jc w:val="distribute"/>
    </w:pPr>
    <w:rPr>
      <w:rFonts w:ascii="宋体" w:hAnsi="宋体" w:cs="宋体"/>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2023-11-10T10:23:00Z</dcterms:created>
  <dc:creator>小蒋</dc:creator>
  <cp:lastModifiedBy>小蒋</cp:lastModifiedBy>
  <dcterms:modified xsi:type="dcterms:W3CDTF">2023-11-10T10:30:33Z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6E530B5EC39641EDB4FBD9B33689A1EC_11</vt:lpwstr>
  </property>
</Properties>
</file>