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left"/>
        <w:rPr>
          <w:rFonts w:ascii="宋体" w:hAnsi="宋体"/>
          <w:snapToGrid w:val="0"/>
          <w:kern w:val="0"/>
          <w:sz w:val="28"/>
          <w:szCs w:val="28"/>
        </w:rPr>
      </w:pPr>
      <w:bookmarkStart w:id="0" w:name="_Toc111638814"/>
      <w:bookmarkStart w:id="1" w:name="_Toc513624013"/>
      <w:bookmarkStart w:id="2" w:name="_Toc111638754"/>
      <w:bookmarkStart w:id="3" w:name="_Toc5208"/>
      <w:bookmarkStart w:id="4" w:name="_Toc134890441"/>
      <w:bookmarkStart w:id="5" w:name="_Toc136511006"/>
      <w:bookmarkStart w:id="6" w:name="_Toc20998"/>
      <w:bookmarkStart w:id="7" w:name="_Hlk63256711"/>
      <w:bookmarkStart w:id="8" w:name="_Hlk512198378"/>
      <w:bookmarkStart w:id="9" w:name="_Hlk531337268"/>
      <w:r>
        <w:rPr>
          <w:rFonts w:ascii="宋体" w:hAnsi="宋体"/>
          <w:snapToGrid w:val="0"/>
          <w:kern w:val="0"/>
          <w:sz w:val="28"/>
          <w:szCs w:val="28"/>
        </w:rPr>
        <w:t>附件1：资格审查</w:t>
      </w:r>
      <w:bookmarkEnd w:id="0"/>
      <w:bookmarkEnd w:id="1"/>
      <w:bookmarkEnd w:id="2"/>
      <w:r>
        <w:rPr>
          <w:rFonts w:ascii="宋体" w:hAnsi="宋体"/>
          <w:snapToGrid w:val="0"/>
          <w:kern w:val="0"/>
          <w:sz w:val="28"/>
          <w:szCs w:val="28"/>
        </w:rPr>
        <w:t>条件</w:t>
      </w:r>
      <w:bookmarkEnd w:id="3"/>
      <w:bookmarkEnd w:id="4"/>
      <w:bookmarkEnd w:id="5"/>
      <w:bookmarkEnd w:id="6"/>
    </w:p>
    <w:bookmarkEnd w:id="7"/>
    <w:bookmarkEnd w:id="8"/>
    <w:bookmarkEnd w:id="9"/>
    <w:p>
      <w:pPr>
        <w:adjustRightInd w:val="0"/>
        <w:snapToGrid w:val="0"/>
        <w:jc w:val="center"/>
        <w:rPr>
          <w:rFonts w:ascii="宋体" w:hAnsi="宋体"/>
          <w:bCs/>
          <w:snapToGrid w:val="0"/>
          <w:kern w:val="0"/>
          <w:sz w:val="24"/>
        </w:rPr>
      </w:pPr>
      <w:bookmarkStart w:id="10" w:name="_Toc134792890"/>
      <w:bookmarkStart w:id="11" w:name="_Toc134890442"/>
      <w:bookmarkStart w:id="12" w:name="_Toc134792339"/>
      <w:bookmarkStart w:id="13" w:name="_Toc111638756"/>
      <w:bookmarkStart w:id="14" w:name="_Toc111638816"/>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附录1  资格审查条件（资质最低要求）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276" w:lineRule="auto"/>
              <w:jc w:val="left"/>
              <w:rPr>
                <w:rStyle w:val="8"/>
                <w:rFonts w:hAnsi="宋体"/>
                <w:snapToGrid w:val="0"/>
                <w:color w:val="auto"/>
                <w:sz w:val="24"/>
                <w:szCs w:val="24"/>
              </w:rPr>
            </w:pPr>
            <w:r>
              <w:rPr>
                <w:rStyle w:val="8"/>
                <w:rFonts w:hint="eastAsia" w:hAnsi="宋体"/>
                <w:snapToGrid w:val="0"/>
                <w:color w:val="auto"/>
                <w:sz w:val="24"/>
                <w:szCs w:val="24"/>
              </w:rPr>
              <w:t>（1）具有独立企业法人资格，持有有效的企业营业执照；</w:t>
            </w:r>
          </w:p>
          <w:p>
            <w:pPr>
              <w:pStyle w:val="10"/>
              <w:adjustRightInd w:val="0"/>
              <w:snapToGrid w:val="0"/>
              <w:spacing w:line="276" w:lineRule="auto"/>
              <w:jc w:val="left"/>
              <w:rPr>
                <w:rStyle w:val="8"/>
                <w:rFonts w:hAnsi="宋体"/>
                <w:snapToGrid w:val="0"/>
                <w:color w:val="auto"/>
                <w:sz w:val="24"/>
                <w:szCs w:val="24"/>
              </w:rPr>
            </w:pPr>
            <w:r>
              <w:rPr>
                <w:rStyle w:val="8"/>
                <w:rFonts w:hint="eastAsia" w:hAnsi="宋体"/>
                <w:snapToGrid w:val="0"/>
                <w:color w:val="auto"/>
                <w:sz w:val="24"/>
                <w:szCs w:val="24"/>
              </w:rPr>
              <w:t>（2）具备建设行政主管部门颁发的工程监理综合资质或工程监理房屋建筑工程专业乙级及以上资质。</w:t>
            </w:r>
          </w:p>
        </w:tc>
      </w:tr>
    </w:tbl>
    <w:p>
      <w:pPr>
        <w:adjustRightInd w:val="0"/>
        <w:snapToGrid w:val="0"/>
        <w:spacing w:line="276" w:lineRule="auto"/>
        <w:jc w:val="center"/>
        <w:rPr>
          <w:rFonts w:ascii="宋体" w:hAnsi="宋体"/>
          <w:bCs/>
          <w:snapToGrid w:val="0"/>
          <w:kern w:val="0"/>
          <w:sz w:val="24"/>
        </w:rPr>
      </w:pPr>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附录2  资格审查条件（业绩最低要求）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276" w:lineRule="auto"/>
              <w:ind w:firstLine="480" w:firstLineChars="200"/>
              <w:jc w:val="left"/>
              <w:rPr>
                <w:rStyle w:val="8"/>
                <w:rFonts w:hAnsi="宋体"/>
                <w:snapToGrid w:val="0"/>
                <w:color w:val="auto"/>
                <w:sz w:val="24"/>
                <w:szCs w:val="24"/>
              </w:rPr>
            </w:pPr>
            <w:r>
              <w:rPr>
                <w:rStyle w:val="8"/>
                <w:rFonts w:hint="eastAsia" w:hAnsi="宋体"/>
                <w:snapToGrid w:val="0"/>
                <w:color w:val="auto"/>
                <w:sz w:val="24"/>
                <w:szCs w:val="24"/>
              </w:rPr>
              <w:t>近5年内（2018年</w:t>
            </w:r>
            <w:r>
              <w:rPr>
                <w:rStyle w:val="8"/>
                <w:rFonts w:hAnsi="宋体"/>
                <w:snapToGrid w:val="0"/>
                <w:color w:val="auto"/>
                <w:sz w:val="24"/>
                <w:szCs w:val="24"/>
              </w:rPr>
              <w:t>1</w:t>
            </w:r>
            <w:r>
              <w:rPr>
                <w:rStyle w:val="8"/>
                <w:color w:val="auto"/>
                <w:sz w:val="24"/>
                <w:szCs w:val="24"/>
              </w:rPr>
              <w:t>1</w:t>
            </w:r>
            <w:r>
              <w:rPr>
                <w:rStyle w:val="8"/>
                <w:rFonts w:hAnsi="宋体"/>
                <w:snapToGrid w:val="0"/>
                <w:color w:val="auto"/>
                <w:sz w:val="24"/>
                <w:szCs w:val="24"/>
              </w:rPr>
              <w:t>月</w:t>
            </w:r>
            <w:r>
              <w:rPr>
                <w:rStyle w:val="8"/>
                <w:rFonts w:hint="eastAsia" w:hAnsi="宋体"/>
                <w:snapToGrid w:val="0"/>
                <w:color w:val="auto"/>
                <w:sz w:val="24"/>
                <w:szCs w:val="24"/>
              </w:rPr>
              <w:t>1日至今，以工程竣工时间为准），至少完成过一项合同额不少于</w:t>
            </w:r>
            <w:r>
              <w:rPr>
                <w:rStyle w:val="8"/>
                <w:rFonts w:hAnsi="宋体"/>
                <w:snapToGrid w:val="0"/>
                <w:color w:val="auto"/>
                <w:sz w:val="24"/>
                <w:szCs w:val="24"/>
              </w:rPr>
              <w:t>150</w:t>
            </w:r>
            <w:r>
              <w:rPr>
                <w:rStyle w:val="8"/>
                <w:rFonts w:hint="eastAsia" w:hAnsi="宋体"/>
                <w:snapToGrid w:val="0"/>
                <w:color w:val="auto"/>
                <w:sz w:val="24"/>
                <w:szCs w:val="24"/>
              </w:rPr>
              <w:t>万元的公共建筑工程施工监理业绩。</w:t>
            </w:r>
          </w:p>
        </w:tc>
      </w:tr>
    </w:tbl>
    <w:p>
      <w:pPr>
        <w:adjustRightInd w:val="0"/>
        <w:snapToGrid w:val="0"/>
        <w:spacing w:line="276" w:lineRule="auto"/>
        <w:rPr>
          <w:rStyle w:val="8"/>
          <w:rFonts w:hAnsi="宋体"/>
          <w:snapToGrid w:val="0"/>
          <w:sz w:val="24"/>
        </w:rPr>
      </w:pPr>
      <w:r>
        <w:rPr>
          <w:rStyle w:val="8"/>
          <w:rFonts w:hint="eastAsia" w:hAnsi="宋体"/>
          <w:snapToGrid w:val="0"/>
          <w:sz w:val="24"/>
        </w:rPr>
        <w:t>注：若所提交业绩为交通行业业绩证明材料以交工日期为准。</w:t>
      </w:r>
    </w:p>
    <w:p>
      <w:pPr>
        <w:adjustRightInd w:val="0"/>
        <w:snapToGrid w:val="0"/>
        <w:spacing w:line="276" w:lineRule="auto"/>
        <w:jc w:val="center"/>
        <w:rPr>
          <w:rFonts w:ascii="宋体" w:hAnsi="宋体"/>
          <w:bCs/>
          <w:snapToGrid w:val="0"/>
          <w:kern w:val="0"/>
          <w:sz w:val="24"/>
        </w:rPr>
      </w:pPr>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附录3  资格审查条件（信誉最低要求）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276" w:lineRule="auto"/>
              <w:ind w:firstLine="480" w:firstLineChars="200"/>
              <w:jc w:val="left"/>
              <w:rPr>
                <w:rStyle w:val="8"/>
                <w:rFonts w:hAnsi="宋体"/>
                <w:snapToGrid w:val="0"/>
                <w:color w:val="auto"/>
                <w:sz w:val="24"/>
                <w:szCs w:val="24"/>
              </w:rPr>
            </w:pPr>
            <w:r>
              <w:rPr>
                <w:rFonts w:hint="eastAsia" w:hAnsi="宋体"/>
                <w:color w:val="auto"/>
                <w:sz w:val="24"/>
                <w:szCs w:val="24"/>
              </w:rPr>
              <w:t>投标人在近1年内（2022年</w:t>
            </w:r>
            <w:r>
              <w:rPr>
                <w:rFonts w:hAnsi="宋体"/>
                <w:color w:val="auto"/>
                <w:sz w:val="24"/>
                <w:szCs w:val="24"/>
              </w:rPr>
              <w:t>11</w:t>
            </w:r>
            <w:r>
              <w:rPr>
                <w:rFonts w:hint="eastAsia" w:hAnsi="宋体"/>
                <w:color w:val="auto"/>
                <w:sz w:val="24"/>
                <w:szCs w:val="24"/>
              </w:rPr>
              <w:t>月1日至今）不曾在公共建筑工程监理合同中违约而被驱逐或因投标人自身的原因而使公共建筑工程监理合同被解除。</w:t>
            </w:r>
          </w:p>
        </w:tc>
      </w:tr>
    </w:tbl>
    <w:p>
      <w:pPr>
        <w:adjustRightInd w:val="0"/>
        <w:snapToGrid w:val="0"/>
        <w:spacing w:line="276" w:lineRule="auto"/>
        <w:jc w:val="center"/>
        <w:rPr>
          <w:rFonts w:ascii="宋体" w:hAnsi="宋体"/>
          <w:bCs/>
          <w:snapToGrid w:val="0"/>
          <w:kern w:val="0"/>
          <w:sz w:val="24"/>
        </w:rPr>
      </w:pPr>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附录4  资格审查条件（</w:t>
      </w:r>
      <w:r>
        <w:rPr>
          <w:rFonts w:hint="eastAsia" w:ascii="宋体" w:hAnsi="宋体"/>
          <w:bCs/>
          <w:snapToGrid w:val="0"/>
          <w:kern w:val="0"/>
          <w:sz w:val="24"/>
        </w:rPr>
        <w:t>总监理工程师</w:t>
      </w:r>
      <w:r>
        <w:rPr>
          <w:rFonts w:ascii="宋体" w:hAnsi="宋体"/>
          <w:bCs/>
          <w:snapToGrid w:val="0"/>
          <w:kern w:val="0"/>
          <w:sz w:val="24"/>
        </w:rPr>
        <w:t>最低要求）</w:t>
      </w:r>
    </w:p>
    <w:tbl>
      <w:tblPr>
        <w:tblStyle w:val="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01"/>
        <w:gridCol w:w="798"/>
        <w:gridCol w:w="3465"/>
        <w:gridCol w:w="26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939"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人员</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数量</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资格要求</w:t>
            </w:r>
          </w:p>
        </w:tc>
        <w:tc>
          <w:tcPr>
            <w:tcW w:w="156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39"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hint="eastAsia" w:ascii="宋体" w:hAnsi="宋体"/>
                <w:bCs/>
                <w:snapToGrid w:val="0"/>
                <w:kern w:val="0"/>
                <w:sz w:val="24"/>
              </w:rPr>
              <w:t>总监理工程师</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8"/>
                <w:rFonts w:ascii="宋体" w:hAnsi="宋体"/>
                <w:bCs/>
                <w:snapToGrid w:val="0"/>
                <w:kern w:val="0"/>
                <w:sz w:val="24"/>
              </w:rPr>
            </w:pPr>
            <w:r>
              <w:rPr>
                <w:rStyle w:val="8"/>
                <w:rFonts w:ascii="宋体" w:hAnsi="宋体"/>
                <w:bCs/>
                <w:snapToGrid w:val="0"/>
                <w:kern w:val="0"/>
                <w:sz w:val="24"/>
              </w:rPr>
              <w:t>1</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textAlignment w:val="baseline"/>
              <w:rPr>
                <w:rStyle w:val="8"/>
                <w:rFonts w:ascii="宋体" w:hAnsi="宋体"/>
                <w:bCs/>
                <w:snapToGrid w:val="0"/>
                <w:kern w:val="0"/>
                <w:sz w:val="24"/>
              </w:rPr>
            </w:pPr>
            <w:r>
              <w:rPr>
                <w:rStyle w:val="8"/>
                <w:rFonts w:hint="eastAsia" w:ascii="宋体" w:hAnsi="宋体"/>
                <w:bCs/>
                <w:snapToGrid w:val="0"/>
                <w:kern w:val="0"/>
                <w:sz w:val="24"/>
              </w:rPr>
              <w:t>高级工程师，具有监理工程师注册证书（土木建筑工程），注册单位名称须与投标人单位名称一致；近5年内（2018年</w:t>
            </w:r>
            <w:r>
              <w:rPr>
                <w:rStyle w:val="8"/>
                <w:rFonts w:ascii="宋体" w:hAnsi="宋体"/>
                <w:bCs/>
                <w:snapToGrid w:val="0"/>
                <w:kern w:val="0"/>
                <w:sz w:val="24"/>
              </w:rPr>
              <w:t>1</w:t>
            </w:r>
            <w:r>
              <w:rPr>
                <w:rStyle w:val="8"/>
                <w:bCs/>
                <w:sz w:val="24"/>
              </w:rPr>
              <w:t>1</w:t>
            </w:r>
            <w:r>
              <w:rPr>
                <w:rStyle w:val="8"/>
                <w:rFonts w:ascii="宋体" w:hAnsi="宋体"/>
                <w:bCs/>
                <w:snapToGrid w:val="0"/>
                <w:kern w:val="0"/>
                <w:sz w:val="24"/>
              </w:rPr>
              <w:t>月</w:t>
            </w:r>
            <w:r>
              <w:rPr>
                <w:rStyle w:val="8"/>
                <w:rFonts w:hint="eastAsia" w:ascii="宋体" w:hAnsi="宋体"/>
                <w:bCs/>
                <w:snapToGrid w:val="0"/>
                <w:kern w:val="0"/>
                <w:sz w:val="24"/>
              </w:rPr>
              <w:t>1日至今，以</w:t>
            </w:r>
            <w:r>
              <w:rPr>
                <w:rStyle w:val="8"/>
                <w:rFonts w:hint="eastAsia" w:ascii="宋体" w:hAnsi="宋体"/>
                <w:snapToGrid w:val="0"/>
                <w:sz w:val="24"/>
              </w:rPr>
              <w:t>工程竣工时间为准</w:t>
            </w:r>
            <w:r>
              <w:rPr>
                <w:rStyle w:val="8"/>
                <w:rFonts w:hint="eastAsia" w:ascii="宋体" w:hAnsi="宋体"/>
                <w:bCs/>
                <w:snapToGrid w:val="0"/>
                <w:kern w:val="0"/>
                <w:sz w:val="24"/>
              </w:rPr>
              <w:t>）至少担任过1项</w:t>
            </w:r>
            <w:r>
              <w:rPr>
                <w:rStyle w:val="8"/>
                <w:rFonts w:hint="eastAsia" w:ascii="宋体" w:hAnsi="宋体"/>
                <w:snapToGrid w:val="0"/>
                <w:sz w:val="24"/>
              </w:rPr>
              <w:t>合同额不少于</w:t>
            </w:r>
            <w:r>
              <w:rPr>
                <w:rStyle w:val="8"/>
                <w:rFonts w:ascii="宋体" w:hAnsi="宋体"/>
                <w:snapToGrid w:val="0"/>
                <w:sz w:val="24"/>
              </w:rPr>
              <w:t>150</w:t>
            </w:r>
            <w:r>
              <w:rPr>
                <w:rStyle w:val="8"/>
                <w:rFonts w:hint="eastAsia" w:ascii="宋体" w:hAnsi="宋体"/>
                <w:snapToGrid w:val="0"/>
                <w:sz w:val="24"/>
              </w:rPr>
              <w:t>万元的公共建筑工程施工监理</w:t>
            </w:r>
            <w:r>
              <w:rPr>
                <w:rStyle w:val="8"/>
                <w:rFonts w:hint="eastAsia" w:ascii="宋体" w:hAnsi="宋体"/>
                <w:bCs/>
                <w:snapToGrid w:val="0"/>
                <w:sz w:val="24"/>
              </w:rPr>
              <w:t>的</w:t>
            </w:r>
            <w:r>
              <w:rPr>
                <w:rStyle w:val="8"/>
                <w:rFonts w:hint="eastAsia" w:ascii="宋体" w:hAnsi="宋体"/>
                <w:bCs/>
                <w:snapToGrid w:val="0"/>
                <w:kern w:val="0"/>
                <w:sz w:val="24"/>
              </w:rPr>
              <w:t>总监理工程师或</w:t>
            </w:r>
            <w:r>
              <w:rPr>
                <w:rStyle w:val="8"/>
                <w:rFonts w:hint="eastAsia" w:ascii="宋体" w:hAnsi="宋体"/>
                <w:bCs/>
                <w:snapToGrid w:val="0"/>
                <w:sz w:val="24"/>
              </w:rPr>
              <w:t>副</w:t>
            </w:r>
            <w:r>
              <w:rPr>
                <w:rStyle w:val="8"/>
                <w:rFonts w:hint="eastAsia" w:ascii="宋体" w:hAnsi="宋体"/>
                <w:bCs/>
                <w:snapToGrid w:val="0"/>
                <w:kern w:val="0"/>
                <w:sz w:val="24"/>
              </w:rPr>
              <w:t>总监理工程师。</w:t>
            </w:r>
          </w:p>
        </w:tc>
        <w:tc>
          <w:tcPr>
            <w:tcW w:w="1560" w:type="pct"/>
            <w:tcBorders>
              <w:top w:val="single" w:color="000000" w:sz="2" w:space="0"/>
              <w:left w:val="single" w:color="auto" w:sz="4" w:space="0"/>
              <w:right w:val="single" w:color="000000" w:sz="2" w:space="0"/>
            </w:tcBorders>
            <w:vAlign w:val="center"/>
          </w:tcPr>
          <w:p>
            <w:pPr>
              <w:pStyle w:val="3"/>
              <w:spacing w:line="276" w:lineRule="auto"/>
              <w:rPr>
                <w:rFonts w:ascii="宋体" w:hAnsi="宋体"/>
              </w:rPr>
            </w:pPr>
            <w:r>
              <w:rPr>
                <w:rStyle w:val="8"/>
                <w:rFonts w:hint="eastAsia" w:ascii="宋体" w:hAnsi="宋体"/>
                <w:bCs/>
                <w:snapToGrid w:val="0"/>
                <w:kern w:val="0"/>
                <w:sz w:val="24"/>
              </w:rPr>
              <w:t>目前未在其他项目上任职，或虽在其他项目上任职但本项目中标后能够从该项目撤离，并能在本项目履约。</w:t>
            </w:r>
          </w:p>
        </w:tc>
      </w:tr>
    </w:tbl>
    <w:p>
      <w:pPr>
        <w:adjustRightInd w:val="0"/>
        <w:snapToGrid w:val="0"/>
        <w:spacing w:line="276" w:lineRule="auto"/>
        <w:rPr>
          <w:rFonts w:ascii="宋体" w:hAnsi="宋体"/>
          <w:bCs/>
          <w:snapToGrid w:val="0"/>
          <w:kern w:val="0"/>
          <w:sz w:val="24"/>
        </w:rPr>
      </w:pPr>
      <w:r>
        <w:rPr>
          <w:rStyle w:val="8"/>
          <w:rFonts w:hint="eastAsia" w:hAnsi="宋体"/>
          <w:snapToGrid w:val="0"/>
          <w:sz w:val="24"/>
        </w:rPr>
        <w:t>注：若所提交业绩为交通行业业绩证明材料以交工日期为准。</w:t>
      </w:r>
    </w:p>
    <w:p>
      <w:pPr>
        <w:pStyle w:val="2"/>
        <w:spacing w:before="0" w:after="0" w:line="240" w:lineRule="auto"/>
        <w:rPr>
          <w:rFonts w:ascii="宋体" w:hAnsi="宋体"/>
          <w:snapToGrid w:val="0"/>
          <w:kern w:val="0"/>
          <w:sz w:val="28"/>
          <w:szCs w:val="28"/>
        </w:rPr>
      </w:pPr>
      <w:r>
        <w:rPr>
          <w:rFonts w:ascii="宋体" w:hAnsi="宋体"/>
          <w:snapToGrid w:val="0"/>
          <w:kern w:val="0"/>
          <w:sz w:val="28"/>
          <w:szCs w:val="28"/>
        </w:rPr>
        <w:br w:type="page"/>
      </w:r>
      <w:bookmarkStart w:id="15" w:name="_Toc136511007"/>
      <w:bookmarkStart w:id="16" w:name="_Toc15841"/>
      <w:bookmarkStart w:id="17" w:name="_Toc28157"/>
      <w:r>
        <w:rPr>
          <w:rFonts w:hint="eastAsia" w:ascii="宋体" w:hAnsi="宋体"/>
          <w:snapToGrid w:val="0"/>
          <w:kern w:val="0"/>
          <w:sz w:val="28"/>
          <w:szCs w:val="28"/>
        </w:rPr>
        <w:t>附件2：</w:t>
      </w:r>
      <w:bookmarkEnd w:id="10"/>
      <w:bookmarkEnd w:id="11"/>
      <w:bookmarkEnd w:id="12"/>
      <w:bookmarkEnd w:id="15"/>
      <w:bookmarkStart w:id="18" w:name="_Toc134890443"/>
      <w:bookmarkStart w:id="19" w:name="_Toc136511008"/>
      <w:bookmarkStart w:id="20" w:name="_Toc134792891"/>
      <w:bookmarkStart w:id="21" w:name="_Toc134792340"/>
      <w:r>
        <w:rPr>
          <w:rFonts w:hint="eastAsia" w:ascii="宋体" w:hAnsi="宋体"/>
          <w:snapToGrid w:val="0"/>
          <w:kern w:val="0"/>
          <w:sz w:val="28"/>
          <w:szCs w:val="28"/>
        </w:rPr>
        <w:t>评标办法</w:t>
      </w:r>
      <w:bookmarkEnd w:id="16"/>
      <w:bookmarkEnd w:id="17"/>
      <w:bookmarkEnd w:id="18"/>
      <w:bookmarkEnd w:id="19"/>
      <w:bookmarkEnd w:id="20"/>
      <w:bookmarkEnd w:id="21"/>
    </w:p>
    <w:p>
      <w:pPr>
        <w:adjustRightInd w:val="0"/>
        <w:snapToGrid w:val="0"/>
        <w:spacing w:line="360" w:lineRule="auto"/>
        <w:jc w:val="center"/>
        <w:textAlignment w:val="baseline"/>
        <w:rPr>
          <w:rFonts w:ascii="宋体" w:hAnsi="宋体"/>
          <w:b/>
          <w:bCs/>
          <w:snapToGrid w:val="0"/>
          <w:kern w:val="0"/>
          <w:sz w:val="24"/>
        </w:rPr>
      </w:pPr>
      <w:bookmarkStart w:id="22" w:name="_Toc459307890"/>
      <w:bookmarkStart w:id="23" w:name="_Toc134792409"/>
      <w:bookmarkStart w:id="24" w:name="_Toc450319202"/>
      <w:bookmarkStart w:id="25" w:name="_Toc531949857"/>
      <w:bookmarkStart w:id="26" w:name="_Toc502992691"/>
      <w:bookmarkStart w:id="27" w:name="_Toc134792341"/>
      <w:bookmarkStart w:id="28" w:name="_Toc134890444"/>
      <w:bookmarkStart w:id="29" w:name="_Toc509659998"/>
      <w:bookmarkStart w:id="30" w:name="_Toc509660966"/>
      <w:bookmarkStart w:id="31" w:name="_Toc134890522"/>
      <w:bookmarkStart w:id="32" w:name="_Toc134792892"/>
      <w:bookmarkStart w:id="33" w:name="_Toc444088432"/>
      <w:bookmarkStart w:id="34" w:name="_Toc445382083"/>
      <w:bookmarkStart w:id="35" w:name="_Toc445222503"/>
      <w:bookmarkStart w:id="36" w:name="_Toc444271617"/>
      <w:r>
        <w:rPr>
          <w:rFonts w:hint="eastAsia" w:ascii="宋体" w:hAnsi="宋体"/>
          <w:b/>
          <w:bCs/>
          <w:snapToGrid w:val="0"/>
          <w:kern w:val="0"/>
          <w:sz w:val="24"/>
        </w:rPr>
        <w:t>评标办法（综合评估法）</w:t>
      </w:r>
      <w:bookmarkEnd w:id="22"/>
      <w:bookmarkEnd w:id="23"/>
      <w:bookmarkEnd w:id="24"/>
      <w:bookmarkEnd w:id="25"/>
      <w:bookmarkEnd w:id="26"/>
      <w:bookmarkEnd w:id="27"/>
      <w:bookmarkEnd w:id="28"/>
      <w:bookmarkEnd w:id="29"/>
      <w:bookmarkEnd w:id="30"/>
      <w:bookmarkEnd w:id="31"/>
      <w:bookmarkEnd w:id="32"/>
    </w:p>
    <w:p>
      <w:pPr>
        <w:adjustRightInd w:val="0"/>
        <w:snapToGrid w:val="0"/>
        <w:spacing w:line="360" w:lineRule="auto"/>
        <w:jc w:val="center"/>
        <w:textAlignment w:val="baseline"/>
        <w:rPr>
          <w:rFonts w:ascii="宋体" w:hAnsi="宋体"/>
          <w:b/>
          <w:bCs/>
          <w:snapToGrid w:val="0"/>
          <w:kern w:val="0"/>
          <w:sz w:val="24"/>
        </w:rPr>
      </w:pPr>
      <w:bookmarkStart w:id="37" w:name="_Toc134890523"/>
      <w:bookmarkStart w:id="38" w:name="_Toc134792410"/>
      <w:bookmarkStart w:id="39" w:name="_Toc134792893"/>
      <w:bookmarkStart w:id="40" w:name="_Toc531949858"/>
      <w:bookmarkStart w:id="41" w:name="_Toc134792342"/>
      <w:bookmarkStart w:id="42" w:name="_Toc134890445"/>
      <w:r>
        <w:rPr>
          <w:rFonts w:hint="eastAsia" w:ascii="宋体" w:hAnsi="宋体"/>
          <w:b/>
          <w:bCs/>
          <w:snapToGrid w:val="0"/>
          <w:kern w:val="0"/>
          <w:sz w:val="24"/>
        </w:rPr>
        <w:t>评标办法前附表</w:t>
      </w:r>
      <w:bookmarkEnd w:id="13"/>
      <w:bookmarkEnd w:id="14"/>
      <w:bookmarkEnd w:id="33"/>
      <w:bookmarkEnd w:id="34"/>
      <w:bookmarkEnd w:id="35"/>
      <w:bookmarkEnd w:id="36"/>
      <w:bookmarkEnd w:id="37"/>
      <w:bookmarkEnd w:id="38"/>
      <w:bookmarkEnd w:id="39"/>
      <w:bookmarkEnd w:id="40"/>
      <w:bookmarkEnd w:id="41"/>
      <w:bookmarkEnd w:id="42"/>
    </w:p>
    <w:tbl>
      <w:tblPr>
        <w:tblStyle w:val="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9"/>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条款号</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ascii="宋体" w:hAnsi="宋体"/>
                <w:snapToGrid w:val="0"/>
                <w:kern w:val="0"/>
                <w:sz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1</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32"/>
              </w:rPr>
            </w:pPr>
            <w:r>
              <w:rPr>
                <w:rFonts w:hint="eastAsia" w:ascii="宋体" w:hAnsi="宋体"/>
                <w:sz w:val="24"/>
                <w:szCs w:val="32"/>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rPr>
                <w:rFonts w:ascii="宋体" w:hAnsi="宋体"/>
                <w:sz w:val="24"/>
                <w:szCs w:val="32"/>
              </w:rPr>
            </w:pPr>
            <w:r>
              <w:rPr>
                <w:rFonts w:hint="eastAsia" w:ascii="宋体" w:hAnsi="宋体"/>
                <w:sz w:val="24"/>
                <w:szCs w:val="32"/>
              </w:rPr>
              <w:t>（1）评标价低的投标人优先；</w:t>
            </w:r>
          </w:p>
          <w:p>
            <w:pPr>
              <w:rPr>
                <w:rFonts w:ascii="宋体" w:hAnsi="宋体"/>
                <w:sz w:val="24"/>
                <w:szCs w:val="32"/>
              </w:rPr>
            </w:pPr>
            <w:r>
              <w:rPr>
                <w:rFonts w:hint="eastAsia" w:ascii="宋体" w:hAnsi="宋体"/>
                <w:sz w:val="24"/>
                <w:szCs w:val="32"/>
              </w:rPr>
              <w:t>（2）暗标技术部分评分较高的投标人优先；</w:t>
            </w:r>
          </w:p>
          <w:p>
            <w:pPr>
              <w:rPr>
                <w:rFonts w:ascii="宋体" w:hAnsi="宋体"/>
                <w:sz w:val="24"/>
                <w:szCs w:val="32"/>
              </w:rPr>
            </w:pPr>
            <w:r>
              <w:rPr>
                <w:rFonts w:hint="eastAsia" w:ascii="宋体" w:hAnsi="宋体"/>
                <w:sz w:val="24"/>
                <w:szCs w:val="32"/>
              </w:rPr>
              <w:t>（3）满足资格审查条件（业绩最低要求）要求的业绩累计合同金额高的优先。</w:t>
            </w:r>
          </w:p>
          <w:p>
            <w:pPr>
              <w:rPr>
                <w:rFonts w:ascii="宋体" w:hAnsi="宋体"/>
                <w:snapToGrid w:val="0"/>
                <w:kern w:val="0"/>
                <w:sz w:val="24"/>
              </w:rPr>
            </w:pPr>
            <w:r>
              <w:rPr>
                <w:rFonts w:hint="eastAsia" w:ascii="宋体" w:hAnsi="宋体"/>
                <w:sz w:val="24"/>
                <w:szCs w:val="32"/>
              </w:rPr>
              <w:t>注：已被确定为本项目设计施工总承包的中标人，及与其单位负责人为同一人或存在控、管理关系的不同单位，不得被推荐为本项目施工监理的中标候选人。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2.1.1</w:t>
            </w:r>
          </w:p>
          <w:p>
            <w:pPr>
              <w:adjustRightInd w:val="0"/>
              <w:snapToGrid w:val="0"/>
              <w:jc w:val="center"/>
              <w:textAlignment w:val="baseline"/>
              <w:rPr>
                <w:rFonts w:ascii="宋体" w:hAnsi="宋体"/>
                <w:snapToGrid w:val="0"/>
                <w:kern w:val="0"/>
                <w:sz w:val="24"/>
              </w:rPr>
            </w:pPr>
            <w:r>
              <w:rPr>
                <w:rFonts w:ascii="宋体" w:hAnsi="宋体"/>
                <w:snapToGrid w:val="0"/>
                <w:kern w:val="0"/>
                <w:sz w:val="24"/>
              </w:rPr>
              <w:t>2.1.3</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b/>
                <w:bCs/>
                <w:snapToGrid w:val="0"/>
                <w:kern w:val="0"/>
                <w:sz w:val="24"/>
              </w:rPr>
            </w:pPr>
            <w:r>
              <w:rPr>
                <w:rFonts w:ascii="宋体" w:hAnsi="宋体"/>
                <w:b/>
                <w:bCs/>
                <w:snapToGrid w:val="0"/>
                <w:kern w:val="0"/>
                <w:sz w:val="24"/>
              </w:rPr>
              <w:t>第一个信封（商务文件）评审标准：</w:t>
            </w:r>
          </w:p>
          <w:p>
            <w:pPr>
              <w:adjustRightInd w:val="0"/>
              <w:snapToGrid w:val="0"/>
              <w:textAlignment w:val="baseline"/>
              <w:rPr>
                <w:rFonts w:ascii="宋体" w:hAnsi="宋体"/>
                <w:snapToGrid w:val="0"/>
                <w:kern w:val="0"/>
                <w:sz w:val="24"/>
              </w:rPr>
            </w:pPr>
            <w:r>
              <w:rPr>
                <w:rFonts w:ascii="宋体" w:hAnsi="宋体"/>
                <w:snapToGrid w:val="0"/>
                <w:kern w:val="0"/>
                <w:sz w:val="24"/>
              </w:rPr>
              <w:t>（1）投标文件按照招标文件规定的格式、内容填写，字迹清晰可辨。</w:t>
            </w:r>
          </w:p>
          <w:p>
            <w:pPr>
              <w:adjustRightInd w:val="0"/>
              <w:snapToGrid w:val="0"/>
              <w:textAlignment w:val="baseline"/>
              <w:rPr>
                <w:rFonts w:ascii="宋体" w:hAnsi="宋体"/>
                <w:snapToGrid w:val="0"/>
                <w:kern w:val="0"/>
                <w:sz w:val="24"/>
              </w:rPr>
            </w:pPr>
            <w:r>
              <w:rPr>
                <w:rFonts w:ascii="宋体" w:hAnsi="宋体"/>
                <w:snapToGrid w:val="0"/>
                <w:kern w:val="0"/>
                <w:sz w:val="24"/>
              </w:rPr>
              <w:t>a. 投标函按招标文件规定填报了项目名称、补遗书编号（如有）、质量要求、安全目标、监理服务期限、总监理工程师相关信息；</w:t>
            </w:r>
          </w:p>
          <w:p>
            <w:pPr>
              <w:adjustRightInd w:val="0"/>
              <w:snapToGrid w:val="0"/>
              <w:textAlignment w:val="baseline"/>
              <w:rPr>
                <w:rFonts w:ascii="宋体" w:hAnsi="宋体"/>
                <w:snapToGrid w:val="0"/>
                <w:kern w:val="0"/>
                <w:sz w:val="24"/>
              </w:rPr>
            </w:pPr>
            <w:r>
              <w:rPr>
                <w:rFonts w:ascii="宋体" w:hAnsi="宋体"/>
                <w:snapToGrid w:val="0"/>
                <w:kern w:val="0"/>
                <w:sz w:val="24"/>
              </w:rPr>
              <w:t>b. 文件组成齐全完整，内容均按规定填写。</w:t>
            </w:r>
          </w:p>
          <w:p>
            <w:pPr>
              <w:adjustRightInd w:val="0"/>
              <w:snapToGrid w:val="0"/>
              <w:textAlignment w:val="baseline"/>
              <w:rPr>
                <w:rFonts w:ascii="宋体" w:hAnsi="宋体"/>
                <w:snapToGrid w:val="0"/>
                <w:kern w:val="0"/>
                <w:sz w:val="24"/>
              </w:rPr>
            </w:pPr>
            <w:r>
              <w:rPr>
                <w:rFonts w:ascii="宋体" w:hAnsi="宋体"/>
                <w:snapToGrid w:val="0"/>
                <w:kern w:val="0"/>
                <w:sz w:val="24"/>
              </w:rPr>
              <w:t>（2）投标文件上法定代表人或其授权代理人的签字、投标人的单位章盖章齐全，符合招标文件规定。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（3）投标人按照招标文件的规定提供了投标保证金，并符合投标人须知前附表3.4.1项的相关规定。</w:t>
            </w:r>
          </w:p>
          <w:p>
            <w:pPr>
              <w:adjustRightInd w:val="0"/>
              <w:snapToGrid w:val="0"/>
              <w:rPr>
                <w:rFonts w:ascii="宋体" w:hAnsi="宋体"/>
                <w:snapToGrid w:val="0"/>
                <w:kern w:val="0"/>
                <w:sz w:val="24"/>
              </w:rPr>
            </w:pPr>
            <w:r>
              <w:rPr>
                <w:rFonts w:ascii="宋体" w:hAnsi="宋体"/>
                <w:snapToGrid w:val="0"/>
                <w:kern w:val="0"/>
                <w:sz w:val="24"/>
              </w:rPr>
              <w:t>（4）投标人法定代表人授权委托代理人签署投标文件的，须提交授权委托书，符合招标文件规定。</w:t>
            </w:r>
          </w:p>
          <w:p>
            <w:pPr>
              <w:adjustRightInd w:val="0"/>
              <w:snapToGrid w:val="0"/>
              <w:rPr>
                <w:rFonts w:ascii="宋体" w:hAnsi="宋体"/>
                <w:snapToGrid w:val="0"/>
                <w:kern w:val="0"/>
                <w:sz w:val="24"/>
              </w:rPr>
            </w:pPr>
            <w:r>
              <w:rPr>
                <w:rFonts w:ascii="宋体" w:hAnsi="宋体"/>
                <w:snapToGrid w:val="0"/>
                <w:kern w:val="0"/>
                <w:sz w:val="24"/>
              </w:rPr>
              <w:t>（5）投标人法定代表人若亲自签署投标文件的，须提供法定代表人身份证明，符合招标文件规定。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（6）投标人未以联合体形式投标。</w:t>
            </w:r>
          </w:p>
          <w:p>
            <w:pPr>
              <w:adjustRightInd w:val="0"/>
              <w:snapToGrid w:val="0"/>
              <w:textAlignment w:val="baseline"/>
              <w:rPr>
                <w:rFonts w:ascii="宋体" w:hAnsi="宋体"/>
                <w:snapToGrid w:val="0"/>
                <w:kern w:val="0"/>
                <w:sz w:val="24"/>
              </w:rPr>
            </w:pPr>
            <w:r>
              <w:rPr>
                <w:rFonts w:ascii="宋体" w:hAnsi="宋体"/>
                <w:snapToGrid w:val="0"/>
                <w:kern w:val="0"/>
                <w:sz w:val="24"/>
              </w:rPr>
              <w:t>（7）投标人未将项目进行分包。</w:t>
            </w:r>
          </w:p>
          <w:p>
            <w:pPr>
              <w:adjustRightInd w:val="0"/>
              <w:snapToGrid w:val="0"/>
              <w:textAlignment w:val="baseline"/>
              <w:rPr>
                <w:rFonts w:ascii="宋体" w:hAnsi="宋体"/>
                <w:snapToGrid w:val="0"/>
                <w:kern w:val="0"/>
                <w:sz w:val="24"/>
              </w:rPr>
            </w:pPr>
            <w:r>
              <w:rPr>
                <w:rFonts w:ascii="宋体" w:hAnsi="宋体"/>
                <w:snapToGrid w:val="0"/>
                <w:kern w:val="0"/>
                <w:sz w:val="24"/>
              </w:rPr>
              <w:t xml:space="preserve">（8）投标人未提交备选方案。 </w:t>
            </w:r>
          </w:p>
          <w:p>
            <w:pPr>
              <w:adjustRightInd w:val="0"/>
              <w:snapToGrid w:val="0"/>
              <w:textAlignment w:val="baseline"/>
              <w:rPr>
                <w:rFonts w:ascii="宋体" w:hAnsi="宋体"/>
                <w:snapToGrid w:val="0"/>
                <w:kern w:val="0"/>
                <w:sz w:val="24"/>
              </w:rPr>
            </w:pPr>
            <w:r>
              <w:rPr>
                <w:rFonts w:ascii="宋体" w:hAnsi="宋体"/>
                <w:snapToGrid w:val="0"/>
                <w:kern w:val="0"/>
                <w:sz w:val="24"/>
              </w:rPr>
              <w:t>（9）同一投标人未提交两个以上不同的投标文件。</w:t>
            </w:r>
          </w:p>
          <w:p>
            <w:pPr>
              <w:adjustRightInd w:val="0"/>
              <w:snapToGrid w:val="0"/>
              <w:textAlignment w:val="baseline"/>
              <w:rPr>
                <w:rFonts w:ascii="宋体" w:hAnsi="宋体"/>
                <w:snapToGrid w:val="0"/>
                <w:kern w:val="0"/>
                <w:sz w:val="24"/>
              </w:rPr>
            </w:pPr>
            <w:r>
              <w:rPr>
                <w:rFonts w:ascii="宋体" w:hAnsi="宋体"/>
                <w:snapToGrid w:val="0"/>
                <w:kern w:val="0"/>
                <w:sz w:val="24"/>
              </w:rPr>
              <w:t>（10）投标文件中未出现有关投标报价的内容。</w:t>
            </w:r>
          </w:p>
          <w:p>
            <w:pPr>
              <w:adjustRightInd w:val="0"/>
              <w:snapToGrid w:val="0"/>
              <w:textAlignment w:val="baseline"/>
              <w:rPr>
                <w:rFonts w:ascii="宋体" w:hAnsi="宋体"/>
                <w:snapToGrid w:val="0"/>
                <w:kern w:val="0"/>
                <w:sz w:val="24"/>
              </w:rPr>
            </w:pPr>
            <w:r>
              <w:rPr>
                <w:rFonts w:ascii="宋体" w:hAnsi="宋体"/>
                <w:snapToGrid w:val="0"/>
                <w:kern w:val="0"/>
                <w:sz w:val="24"/>
              </w:rPr>
              <w:t>（11）投标文件载明的招标项目服务期限符合招标文件规定。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（12）投标文件对招标文件的实质性要求和条件</w:t>
            </w:r>
            <w:r>
              <w:rPr>
                <w:rFonts w:hint="eastAsia" w:ascii="宋体" w:hAnsi="宋体"/>
                <w:snapToGrid w:val="0"/>
                <w:kern w:val="0"/>
                <w:sz w:val="24"/>
              </w:rPr>
              <w:t>做出</w:t>
            </w:r>
            <w:r>
              <w:rPr>
                <w:rFonts w:ascii="宋体" w:hAnsi="宋体"/>
                <w:snapToGrid w:val="0"/>
                <w:kern w:val="0"/>
                <w:sz w:val="24"/>
              </w:rPr>
              <w:t>响应。</w:t>
            </w:r>
          </w:p>
          <w:p>
            <w:pPr>
              <w:adjustRightInd w:val="0"/>
              <w:snapToGrid w:val="0"/>
              <w:textAlignment w:val="baseline"/>
              <w:rPr>
                <w:rFonts w:ascii="宋体" w:hAnsi="宋体"/>
                <w:snapToGrid w:val="0"/>
                <w:kern w:val="0"/>
                <w:sz w:val="24"/>
              </w:rPr>
            </w:pPr>
            <w:r>
              <w:rPr>
                <w:rFonts w:ascii="宋体" w:hAnsi="宋体"/>
                <w:snapToGrid w:val="0"/>
                <w:kern w:val="0"/>
                <w:sz w:val="24"/>
              </w:rPr>
              <w:t>（13）权利义务符合招标文件规定：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a. 投标人应接受招标文件规定的风险划分原则，未提出新的风险划分办法；</w:t>
            </w:r>
          </w:p>
          <w:p>
            <w:pPr>
              <w:adjustRightInd w:val="0"/>
              <w:snapToGrid w:val="0"/>
              <w:textAlignment w:val="baseline"/>
              <w:rPr>
                <w:rFonts w:ascii="宋体" w:hAnsi="宋体"/>
                <w:snapToGrid w:val="0"/>
                <w:kern w:val="0"/>
                <w:sz w:val="24"/>
              </w:rPr>
            </w:pPr>
            <w:r>
              <w:rPr>
                <w:rFonts w:ascii="宋体" w:hAnsi="宋体"/>
                <w:snapToGrid w:val="0"/>
                <w:kern w:val="0"/>
                <w:sz w:val="24"/>
              </w:rPr>
              <w:t>b. 投标人未增加发包人的责任范围，或减少投标人义务；</w:t>
            </w:r>
          </w:p>
          <w:p>
            <w:pPr>
              <w:adjustRightInd w:val="0"/>
              <w:snapToGrid w:val="0"/>
              <w:textAlignment w:val="baseline"/>
              <w:rPr>
                <w:rFonts w:ascii="宋体" w:hAnsi="宋体"/>
                <w:snapToGrid w:val="0"/>
                <w:kern w:val="0"/>
                <w:sz w:val="24"/>
              </w:rPr>
            </w:pPr>
            <w:r>
              <w:rPr>
                <w:rFonts w:ascii="宋体" w:hAnsi="宋体"/>
                <w:snapToGrid w:val="0"/>
                <w:kern w:val="0"/>
                <w:sz w:val="24"/>
              </w:rPr>
              <w:t>c. 投标人未提出不同的支付办法；</w:t>
            </w:r>
          </w:p>
          <w:p>
            <w:pPr>
              <w:adjustRightInd w:val="0"/>
              <w:snapToGrid w:val="0"/>
              <w:textAlignment w:val="baseline"/>
              <w:rPr>
                <w:rFonts w:ascii="宋体" w:hAnsi="宋体"/>
                <w:snapToGrid w:val="0"/>
                <w:kern w:val="0"/>
                <w:sz w:val="24"/>
              </w:rPr>
            </w:pPr>
            <w:r>
              <w:rPr>
                <w:rFonts w:ascii="宋体" w:hAnsi="宋体"/>
                <w:snapToGrid w:val="0"/>
                <w:kern w:val="0"/>
                <w:sz w:val="24"/>
              </w:rPr>
              <w:t>d. 投标人对合同纠纷、事故处理办法未提出异议；</w:t>
            </w:r>
          </w:p>
          <w:p>
            <w:pPr>
              <w:adjustRightInd w:val="0"/>
              <w:snapToGrid w:val="0"/>
              <w:textAlignment w:val="baseline"/>
              <w:rPr>
                <w:rFonts w:ascii="宋体" w:hAnsi="宋体"/>
                <w:snapToGrid w:val="0"/>
                <w:kern w:val="0"/>
                <w:sz w:val="24"/>
              </w:rPr>
            </w:pPr>
            <w:r>
              <w:rPr>
                <w:rFonts w:ascii="宋体" w:hAnsi="宋体"/>
                <w:snapToGrid w:val="0"/>
                <w:kern w:val="0"/>
                <w:sz w:val="24"/>
              </w:rPr>
              <w:t>e. 投标人在投标活动中无欺诈行为；</w:t>
            </w:r>
          </w:p>
          <w:p>
            <w:pPr>
              <w:adjustRightInd w:val="0"/>
              <w:snapToGrid w:val="0"/>
              <w:textAlignment w:val="baseline"/>
              <w:rPr>
                <w:rFonts w:ascii="宋体" w:hAnsi="宋体"/>
                <w:snapToGrid w:val="0"/>
                <w:kern w:val="0"/>
                <w:sz w:val="24"/>
              </w:rPr>
            </w:pPr>
            <w:r>
              <w:rPr>
                <w:rFonts w:ascii="宋体" w:hAnsi="宋体"/>
                <w:snapToGrid w:val="0"/>
                <w:kern w:val="0"/>
                <w:sz w:val="24"/>
              </w:rPr>
              <w:t>f. 投标人未对合同条款有重要保留。</w:t>
            </w:r>
          </w:p>
          <w:p>
            <w:pPr>
              <w:rPr>
                <w:rFonts w:ascii="宋体" w:hAnsi="宋体"/>
                <w:b/>
                <w:bCs/>
                <w:sz w:val="24"/>
                <w:szCs w:val="32"/>
              </w:rPr>
            </w:pPr>
            <w:r>
              <w:rPr>
                <w:rFonts w:hint="eastAsia" w:ascii="宋体" w:hAnsi="宋体"/>
                <w:b/>
                <w:bCs/>
                <w:sz w:val="24"/>
                <w:szCs w:val="32"/>
              </w:rPr>
              <w:t>第一个信封（技术文件）评审标准：</w:t>
            </w:r>
          </w:p>
          <w:p>
            <w:pPr>
              <w:rPr>
                <w:rFonts w:ascii="宋体" w:hAnsi="宋体"/>
                <w:sz w:val="24"/>
                <w:szCs w:val="32"/>
              </w:rPr>
            </w:pPr>
            <w:r>
              <w:rPr>
                <w:rFonts w:hint="eastAsia" w:ascii="宋体" w:hAnsi="宋体"/>
                <w:sz w:val="24"/>
                <w:szCs w:val="32"/>
              </w:rPr>
              <w:t>暗标部分按照招标文件对暗标编制的相关规定编制，具体详见投标人须知前附表3.7.3（7）。</w:t>
            </w:r>
          </w:p>
          <w:p>
            <w:pPr>
              <w:adjustRightInd w:val="0"/>
              <w:snapToGrid w:val="0"/>
              <w:textAlignment w:val="baseline"/>
              <w:rPr>
                <w:rFonts w:ascii="宋体" w:hAnsi="宋体"/>
                <w:b/>
                <w:bCs/>
                <w:snapToGrid w:val="0"/>
                <w:kern w:val="0"/>
                <w:sz w:val="24"/>
              </w:rPr>
            </w:pPr>
            <w:r>
              <w:rPr>
                <w:rFonts w:ascii="宋体" w:hAnsi="宋体"/>
                <w:b/>
                <w:bCs/>
                <w:snapToGrid w:val="0"/>
                <w:kern w:val="0"/>
                <w:sz w:val="24"/>
              </w:rPr>
              <w:t>第二个信封（报价文件）评审标准：</w:t>
            </w:r>
          </w:p>
          <w:p>
            <w:pPr>
              <w:adjustRightInd w:val="0"/>
              <w:snapToGrid w:val="0"/>
              <w:textAlignment w:val="baseline"/>
              <w:rPr>
                <w:rFonts w:ascii="宋体" w:hAnsi="宋体"/>
                <w:bCs/>
                <w:snapToGrid w:val="0"/>
                <w:kern w:val="0"/>
                <w:sz w:val="24"/>
              </w:rPr>
            </w:pPr>
            <w:r>
              <w:rPr>
                <w:rFonts w:ascii="宋体" w:hAnsi="宋体"/>
                <w:snapToGrid w:val="0"/>
                <w:kern w:val="0"/>
                <w:sz w:val="24"/>
              </w:rPr>
              <w:t>（1）</w:t>
            </w:r>
            <w:r>
              <w:rPr>
                <w:rFonts w:ascii="宋体" w:hAnsi="宋体"/>
                <w:bCs/>
                <w:snapToGrid w:val="0"/>
                <w:kern w:val="0"/>
                <w:sz w:val="24"/>
              </w:rPr>
              <w:t>投标文件按照招标文件规定的格式、内容填写，字迹清晰可辨。</w:t>
            </w:r>
          </w:p>
          <w:p>
            <w:pPr>
              <w:adjustRightInd w:val="0"/>
              <w:snapToGrid w:val="0"/>
              <w:textAlignment w:val="baseline"/>
              <w:rPr>
                <w:rFonts w:ascii="宋体" w:hAnsi="宋体"/>
                <w:bCs/>
                <w:snapToGrid w:val="0"/>
                <w:kern w:val="0"/>
                <w:sz w:val="24"/>
              </w:rPr>
            </w:pPr>
            <w:r>
              <w:rPr>
                <w:rFonts w:ascii="宋体" w:hAnsi="宋体"/>
                <w:bCs/>
                <w:snapToGrid w:val="0"/>
                <w:kern w:val="0"/>
                <w:sz w:val="24"/>
              </w:rPr>
              <w:t>a. 函按招标文件规定填报了项目名称、补遗书编号（如有）</w:t>
            </w:r>
            <w:r>
              <w:rPr>
                <w:rFonts w:ascii="宋体" w:hAnsi="宋体"/>
                <w:snapToGrid w:val="0"/>
                <w:kern w:val="0"/>
                <w:sz w:val="24"/>
              </w:rPr>
              <w:t>、</w:t>
            </w:r>
            <w:r>
              <w:rPr>
                <w:rFonts w:ascii="宋体" w:hAnsi="宋体"/>
                <w:bCs/>
                <w:snapToGrid w:val="0"/>
                <w:kern w:val="0"/>
                <w:sz w:val="24"/>
              </w:rPr>
              <w:t>投标报价（包括大写金额和小写金额）；</w:t>
            </w:r>
          </w:p>
          <w:p>
            <w:pPr>
              <w:adjustRightInd w:val="0"/>
              <w:snapToGrid w:val="0"/>
              <w:textAlignment w:val="baseline"/>
              <w:rPr>
                <w:rFonts w:ascii="宋体" w:hAnsi="宋体"/>
                <w:bCs/>
                <w:snapToGrid w:val="0"/>
                <w:kern w:val="0"/>
                <w:sz w:val="24"/>
              </w:rPr>
            </w:pPr>
            <w:r>
              <w:rPr>
                <w:rFonts w:ascii="宋体" w:hAnsi="宋体"/>
                <w:bCs/>
                <w:snapToGrid w:val="0"/>
                <w:kern w:val="0"/>
                <w:sz w:val="24"/>
              </w:rPr>
              <w:t>b. 清单说明文字与招标文件规定一致，未进行实质性修改和删减；</w:t>
            </w:r>
          </w:p>
          <w:p>
            <w:pPr>
              <w:adjustRightInd w:val="0"/>
              <w:snapToGrid w:val="0"/>
              <w:textAlignment w:val="baseline"/>
              <w:rPr>
                <w:rFonts w:ascii="宋体" w:hAnsi="宋体"/>
                <w:bCs/>
                <w:snapToGrid w:val="0"/>
                <w:kern w:val="0"/>
                <w:sz w:val="24"/>
              </w:rPr>
            </w:pPr>
            <w:r>
              <w:rPr>
                <w:rFonts w:ascii="宋体" w:hAnsi="宋体"/>
                <w:bCs/>
                <w:snapToGrid w:val="0"/>
                <w:kern w:val="0"/>
                <w:sz w:val="24"/>
              </w:rPr>
              <w:t xml:space="preserve">c. </w:t>
            </w:r>
            <w:r>
              <w:rPr>
                <w:rFonts w:hint="eastAsia" w:ascii="宋体" w:hAnsi="宋体"/>
                <w:bCs/>
                <w:snapToGrid w:val="0"/>
                <w:kern w:val="0"/>
                <w:sz w:val="24"/>
              </w:rPr>
              <w:t>投</w:t>
            </w:r>
            <w:r>
              <w:rPr>
                <w:rFonts w:ascii="宋体" w:hAnsi="宋体"/>
                <w:bCs/>
                <w:snapToGrid w:val="0"/>
                <w:kern w:val="0"/>
                <w:sz w:val="24"/>
              </w:rPr>
              <w:t>标文件组成齐全完整，内容均按规定填写。</w:t>
            </w:r>
          </w:p>
          <w:p>
            <w:pPr>
              <w:adjustRightInd w:val="0"/>
              <w:snapToGrid w:val="0"/>
              <w:textAlignment w:val="baseline"/>
              <w:rPr>
                <w:rFonts w:ascii="宋体" w:hAnsi="宋体"/>
                <w:snapToGrid w:val="0"/>
                <w:kern w:val="0"/>
                <w:sz w:val="24"/>
              </w:rPr>
            </w:pPr>
            <w:r>
              <w:rPr>
                <w:rFonts w:ascii="宋体" w:hAnsi="宋体"/>
                <w:snapToGrid w:val="0"/>
                <w:kern w:val="0"/>
                <w:sz w:val="24"/>
              </w:rPr>
              <w:t>（2）投标文件上法定代表人或其授权代理人的签字、投标人的单位章盖章齐全，符合招标文件规定。</w:t>
            </w:r>
          </w:p>
          <w:p>
            <w:pPr>
              <w:adjustRightInd w:val="0"/>
              <w:snapToGrid w:val="0"/>
              <w:textAlignment w:val="baseline"/>
              <w:rPr>
                <w:rFonts w:ascii="宋体" w:hAnsi="宋体"/>
                <w:snapToGrid w:val="0"/>
                <w:kern w:val="0"/>
                <w:sz w:val="24"/>
              </w:rPr>
            </w:pPr>
            <w:r>
              <w:rPr>
                <w:rFonts w:ascii="宋体" w:hAnsi="宋体"/>
                <w:bCs/>
                <w:snapToGrid w:val="0"/>
                <w:kern w:val="0"/>
                <w:sz w:val="24"/>
              </w:rPr>
              <w:t>（3）</w:t>
            </w:r>
            <w:r>
              <w:rPr>
                <w:rFonts w:ascii="宋体" w:hAnsi="宋体"/>
                <w:snapToGrid w:val="0"/>
                <w:kern w:val="0"/>
                <w:sz w:val="24"/>
              </w:rPr>
              <w:t>投标报价未超过招标文件设定的最高投标限价。</w:t>
            </w:r>
          </w:p>
          <w:p>
            <w:pPr>
              <w:adjustRightInd w:val="0"/>
              <w:snapToGrid w:val="0"/>
              <w:textAlignment w:val="baseline"/>
              <w:rPr>
                <w:rFonts w:ascii="宋体" w:hAnsi="宋体"/>
                <w:snapToGrid w:val="0"/>
                <w:kern w:val="0"/>
                <w:sz w:val="24"/>
              </w:rPr>
            </w:pPr>
            <w:r>
              <w:rPr>
                <w:rFonts w:ascii="宋体" w:hAnsi="宋体"/>
                <w:snapToGrid w:val="0"/>
                <w:kern w:val="0"/>
                <w:sz w:val="24"/>
              </w:rPr>
              <w:t>（4）投标报价的大写金额能够确定具体数值。</w:t>
            </w:r>
          </w:p>
          <w:p>
            <w:pPr>
              <w:adjustRightInd w:val="0"/>
              <w:snapToGrid w:val="0"/>
              <w:textAlignment w:val="baseline"/>
              <w:rPr>
                <w:rFonts w:ascii="宋体" w:hAnsi="宋体"/>
                <w:snapToGrid w:val="0"/>
                <w:kern w:val="0"/>
                <w:sz w:val="24"/>
              </w:rPr>
            </w:pPr>
            <w:r>
              <w:rPr>
                <w:rFonts w:ascii="宋体" w:hAnsi="宋体"/>
                <w:snapToGrid w:val="0"/>
                <w:kern w:val="0"/>
                <w:sz w:val="24"/>
              </w:rPr>
              <w:t>（5）同一投标人未提交两个</w:t>
            </w:r>
            <w:r>
              <w:rPr>
                <w:rFonts w:hint="eastAsia" w:ascii="宋体" w:hAnsi="宋体"/>
                <w:snapToGrid w:val="0"/>
                <w:kern w:val="0"/>
                <w:sz w:val="24"/>
              </w:rPr>
              <w:t>及</w:t>
            </w:r>
            <w:r>
              <w:rPr>
                <w:rFonts w:ascii="宋体" w:hAnsi="宋体"/>
                <w:snapToGrid w:val="0"/>
                <w:kern w:val="0"/>
                <w:sz w:val="24"/>
              </w:rPr>
              <w:t>以上不同的投标报价。</w:t>
            </w:r>
          </w:p>
          <w:p>
            <w:pPr>
              <w:adjustRightInd w:val="0"/>
              <w:snapToGrid w:val="0"/>
              <w:textAlignment w:val="baseline"/>
              <w:rPr>
                <w:rFonts w:ascii="宋体" w:hAnsi="宋体"/>
                <w:snapToGrid w:val="0"/>
                <w:kern w:val="0"/>
                <w:sz w:val="24"/>
              </w:rPr>
            </w:pPr>
            <w:r>
              <w:rPr>
                <w:rFonts w:ascii="宋体" w:hAnsi="宋体"/>
                <w:snapToGrid w:val="0"/>
                <w:kern w:val="0"/>
                <w:sz w:val="24"/>
              </w:rPr>
              <w:t>（6）投标报价中缺陷责任期阶段监理服务费报价不低于监理服务总费用的</w:t>
            </w:r>
            <w:r>
              <w:rPr>
                <w:rFonts w:ascii="宋体" w:hAnsi="宋体"/>
                <w:snapToGrid w:val="0"/>
                <w:kern w:val="0"/>
                <w:sz w:val="24"/>
                <w:u w:val="single"/>
              </w:rPr>
              <w:t>10</w:t>
            </w:r>
            <w:r>
              <w:rPr>
                <w:rFonts w:ascii="宋体" w:hAnsi="宋体"/>
                <w:snapToGrid w:val="0"/>
                <w:kern w:val="0"/>
                <w:sz w:val="24"/>
              </w:rPr>
              <w:t>%。</w:t>
            </w:r>
          </w:p>
          <w:p>
            <w:pPr>
              <w:pStyle w:val="3"/>
            </w:pPr>
            <w:r>
              <w:rPr>
                <w:rFonts w:hint="eastAsia" w:ascii="宋体" w:hAnsi="宋体"/>
                <w:snapToGrid w:val="0"/>
                <w:kern w:val="0"/>
                <w:sz w:val="24"/>
              </w:rPr>
              <w:t>（7）价格清单中的投标报价和投标函大写金额报价一致。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2.1.2</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ascii="宋体" w:hAnsi="宋体"/>
                <w:snapToGrid w:val="0"/>
                <w:kern w:val="0"/>
                <w:sz w:val="24"/>
              </w:rPr>
              <w:t>（1）投标人具备有效的营业执照、组织机构代码证（三证合一或五证合一的除外）、监理资质证书和基本账户开户许可证（或基本存款账户信息）。</w:t>
            </w:r>
          </w:p>
          <w:p>
            <w:pPr>
              <w:adjustRightInd w:val="0"/>
              <w:snapToGrid w:val="0"/>
              <w:textAlignment w:val="baseline"/>
              <w:rPr>
                <w:rFonts w:ascii="宋体" w:hAnsi="宋体"/>
                <w:snapToGrid w:val="0"/>
                <w:kern w:val="0"/>
                <w:sz w:val="24"/>
              </w:rPr>
            </w:pPr>
            <w:r>
              <w:rPr>
                <w:rFonts w:ascii="宋体" w:hAnsi="宋体"/>
                <w:snapToGrid w:val="0"/>
                <w:kern w:val="0"/>
                <w:sz w:val="24"/>
              </w:rPr>
              <w:t>（2）投标人的资质等级符合招标文件规定。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（3）投标人的类似项目业绩符合招标文件的规定。</w:t>
            </w:r>
          </w:p>
          <w:p>
            <w:pPr>
              <w:adjustRightInd w:val="0"/>
              <w:snapToGrid w:val="0"/>
              <w:textAlignment w:val="baseline"/>
              <w:rPr>
                <w:rFonts w:ascii="宋体" w:hAnsi="宋体"/>
                <w:snapToGrid w:val="0"/>
                <w:kern w:val="0"/>
                <w:sz w:val="24"/>
              </w:rPr>
            </w:pPr>
            <w:r>
              <w:rPr>
                <w:rFonts w:ascii="宋体" w:hAnsi="宋体"/>
                <w:snapToGrid w:val="0"/>
                <w:kern w:val="0"/>
                <w:sz w:val="24"/>
              </w:rPr>
              <w:t>（4）投标人的信誉符合招标文件规定。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（5）投标人的总监理工程师资格符合招标文件规定。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（6）投标人的其他要求符合招标文件规定。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（7）投标人不存在第二章“投标人须知”第1.4.3项或1.4.4项规定的任何一种情形。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2.2.1</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bookmarkStart w:id="43" w:name="_Hlk136416228"/>
            <w:r>
              <w:rPr>
                <w:rFonts w:ascii="宋体" w:hAnsi="宋体"/>
                <w:snapToGrid w:val="0"/>
                <w:kern w:val="0"/>
                <w:sz w:val="24"/>
              </w:rPr>
              <w:t>分值构成</w:t>
            </w:r>
            <w:bookmarkEnd w:id="43"/>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bCs/>
                <w:snapToGrid w:val="0"/>
                <w:kern w:val="0"/>
                <w:sz w:val="24"/>
              </w:rPr>
            </w:pPr>
            <w:r>
              <w:rPr>
                <w:rFonts w:ascii="宋体" w:hAnsi="宋体"/>
                <w:b/>
                <w:bCs/>
                <w:snapToGrid w:val="0"/>
                <w:kern w:val="0"/>
                <w:sz w:val="24"/>
              </w:rPr>
              <w:t>第一信封（商务及技术文件）评分分值构成：</w:t>
            </w:r>
          </w:p>
          <w:p>
            <w:pPr>
              <w:adjustRightInd w:val="0"/>
              <w:snapToGrid w:val="0"/>
              <w:rPr>
                <w:rFonts w:ascii="宋体" w:hAnsi="宋体"/>
                <w:snapToGrid w:val="0"/>
                <w:kern w:val="0"/>
                <w:sz w:val="24"/>
              </w:rPr>
            </w:pPr>
            <w:r>
              <w:rPr>
                <w:rFonts w:ascii="宋体" w:hAnsi="宋体"/>
                <w:snapToGrid w:val="0"/>
                <w:kern w:val="0"/>
                <w:sz w:val="24"/>
              </w:rPr>
              <w:t>技术建议书：</w:t>
            </w:r>
            <w:r>
              <w:rPr>
                <w:rFonts w:ascii="宋体" w:hAnsi="宋体"/>
                <w:snapToGrid w:val="0"/>
                <w:kern w:val="0"/>
                <w:sz w:val="24"/>
                <w:u w:val="single"/>
              </w:rPr>
              <w:t>35</w:t>
            </w:r>
            <w:r>
              <w:rPr>
                <w:rFonts w:ascii="宋体" w:hAnsi="宋体"/>
                <w:snapToGrid w:val="0"/>
                <w:kern w:val="0"/>
                <w:sz w:val="24"/>
              </w:rPr>
              <w:t>分</w:t>
            </w:r>
          </w:p>
          <w:p>
            <w:pPr>
              <w:adjustRightInd w:val="0"/>
              <w:snapToGrid w:val="0"/>
              <w:rPr>
                <w:rFonts w:ascii="宋体" w:hAnsi="宋体"/>
                <w:snapToGrid w:val="0"/>
                <w:kern w:val="0"/>
                <w:sz w:val="24"/>
              </w:rPr>
            </w:pPr>
            <w:r>
              <w:rPr>
                <w:rFonts w:ascii="宋体" w:hAnsi="宋体"/>
                <w:snapToGrid w:val="0"/>
                <w:spacing w:val="40"/>
                <w:kern w:val="0"/>
                <w:sz w:val="24"/>
                <w:fitText w:val="1200" w:id="578439362"/>
              </w:rPr>
              <w:t>主要人</w:t>
            </w:r>
            <w:r>
              <w:rPr>
                <w:rFonts w:ascii="宋体" w:hAnsi="宋体"/>
                <w:snapToGrid w:val="0"/>
                <w:spacing w:val="0"/>
                <w:kern w:val="0"/>
                <w:sz w:val="24"/>
                <w:fitText w:val="1200" w:id="578439362"/>
              </w:rPr>
              <w:t>员</w:t>
            </w:r>
            <w:r>
              <w:rPr>
                <w:rFonts w:ascii="宋体" w:hAnsi="宋体"/>
                <w:snapToGrid w:val="0"/>
                <w:kern w:val="0"/>
                <w:sz w:val="24"/>
              </w:rPr>
              <w:t>：</w:t>
            </w:r>
            <w:r>
              <w:rPr>
                <w:rFonts w:ascii="宋体" w:hAnsi="宋体"/>
                <w:snapToGrid w:val="0"/>
                <w:kern w:val="0"/>
                <w:sz w:val="24"/>
                <w:u w:val="single"/>
              </w:rPr>
              <w:t>25</w:t>
            </w:r>
            <w:r>
              <w:rPr>
                <w:rFonts w:ascii="宋体" w:hAnsi="宋体"/>
                <w:snapToGrid w:val="0"/>
                <w:kern w:val="0"/>
                <w:sz w:val="24"/>
              </w:rPr>
              <w:t>分</w:t>
            </w:r>
          </w:p>
          <w:p>
            <w:pPr>
              <w:adjustRightInd w:val="0"/>
              <w:snapToGrid w:val="0"/>
              <w:rPr>
                <w:rFonts w:ascii="宋体" w:hAnsi="宋体"/>
                <w:snapToGrid w:val="0"/>
                <w:kern w:val="0"/>
                <w:sz w:val="24"/>
              </w:rPr>
            </w:pPr>
            <w:r>
              <w:rPr>
                <w:rFonts w:ascii="宋体" w:hAnsi="宋体"/>
                <w:snapToGrid w:val="0"/>
                <w:spacing w:val="24"/>
                <w:kern w:val="0"/>
                <w:sz w:val="24"/>
                <w:fitText w:val="1200" w:id="1389385166"/>
              </w:rPr>
              <w:t xml:space="preserve">业    </w:t>
            </w:r>
            <w:r>
              <w:rPr>
                <w:rFonts w:ascii="宋体" w:hAnsi="宋体"/>
                <w:snapToGrid w:val="0"/>
                <w:spacing w:val="0"/>
                <w:kern w:val="0"/>
                <w:sz w:val="24"/>
                <w:fitText w:val="1200" w:id="1389385166"/>
              </w:rPr>
              <w:t>绩</w:t>
            </w:r>
            <w:r>
              <w:rPr>
                <w:rFonts w:ascii="宋体" w:hAnsi="宋体"/>
                <w:snapToGrid w:val="0"/>
                <w:kern w:val="0"/>
                <w:sz w:val="24"/>
              </w:rPr>
              <w:t>：</w:t>
            </w:r>
            <w:r>
              <w:rPr>
                <w:rFonts w:ascii="宋体" w:hAnsi="宋体"/>
                <w:snapToGrid w:val="0"/>
                <w:kern w:val="0"/>
                <w:sz w:val="24"/>
                <w:u w:val="single"/>
              </w:rPr>
              <w:t>30</w:t>
            </w:r>
            <w:r>
              <w:rPr>
                <w:rFonts w:ascii="宋体" w:hAnsi="宋体"/>
                <w:snapToGrid w:val="0"/>
                <w:kern w:val="0"/>
                <w:sz w:val="24"/>
              </w:rPr>
              <w:t>分</w:t>
            </w:r>
          </w:p>
          <w:p>
            <w:pPr>
              <w:adjustRightInd w:val="0"/>
              <w:snapToGrid w:val="0"/>
              <w:rPr>
                <w:rFonts w:ascii="宋体" w:hAnsi="宋体"/>
                <w:b/>
                <w:bCs/>
                <w:snapToGrid w:val="0"/>
                <w:kern w:val="0"/>
                <w:sz w:val="24"/>
              </w:rPr>
            </w:pPr>
            <w:r>
              <w:rPr>
                <w:rFonts w:ascii="宋体" w:hAnsi="宋体"/>
                <w:b/>
                <w:bCs/>
                <w:snapToGrid w:val="0"/>
                <w:kern w:val="0"/>
                <w:sz w:val="24"/>
              </w:rPr>
              <w:t>第二信封（报价文件）评分分值构成：</w:t>
            </w:r>
          </w:p>
          <w:p>
            <w:pPr>
              <w:adjustRightInd w:val="0"/>
              <w:snapToGrid w:val="0"/>
              <w:textAlignment w:val="baseline"/>
              <w:rPr>
                <w:rFonts w:ascii="宋体" w:hAnsi="宋体"/>
                <w:snapToGrid w:val="0"/>
                <w:kern w:val="0"/>
                <w:sz w:val="24"/>
              </w:rPr>
            </w:pPr>
            <w:r>
              <w:rPr>
                <w:rFonts w:ascii="宋体" w:hAnsi="宋体"/>
                <w:snapToGrid w:val="0"/>
                <w:kern w:val="0"/>
                <w:sz w:val="24"/>
              </w:rPr>
              <w:t>评标价：</w:t>
            </w:r>
            <w:r>
              <w:rPr>
                <w:rFonts w:ascii="宋体" w:hAnsi="宋体"/>
                <w:snapToGrid w:val="0"/>
                <w:kern w:val="0"/>
                <w:sz w:val="24"/>
                <w:u w:val="single"/>
              </w:rPr>
              <w:t>10</w:t>
            </w:r>
            <w:r>
              <w:rPr>
                <w:rFonts w:ascii="宋体" w:hAnsi="宋体"/>
                <w:snapToGrid w:val="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2.2.2</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napToGrid w:val="0"/>
                <w:kern w:val="0"/>
                <w:sz w:val="24"/>
              </w:rPr>
            </w:pPr>
            <w:r>
              <w:rPr>
                <w:rFonts w:ascii="宋体" w:hAnsi="宋体"/>
                <w:snapToGrid w:val="0"/>
                <w:kern w:val="0"/>
                <w:sz w:val="24"/>
              </w:rPr>
              <w:t>在开标现场，招标人将当场计算并宣布评标基准价。</w:t>
            </w:r>
          </w:p>
          <w:p>
            <w:pPr>
              <w:adjustRightInd w:val="0"/>
              <w:snapToGrid w:val="0"/>
              <w:rPr>
                <w:rFonts w:ascii="宋体" w:hAnsi="宋体"/>
                <w:snapToGrid w:val="0"/>
                <w:kern w:val="0"/>
                <w:sz w:val="24"/>
              </w:rPr>
            </w:pPr>
            <w:r>
              <w:rPr>
                <w:rFonts w:ascii="宋体" w:hAnsi="宋体"/>
                <w:snapToGrid w:val="0"/>
                <w:kern w:val="0"/>
                <w:sz w:val="24"/>
              </w:rPr>
              <w:t>（1）评标价的确定：评标价=投标函文字报价</w:t>
            </w:r>
          </w:p>
          <w:p>
            <w:pPr>
              <w:adjustRightInd w:val="0"/>
              <w:snapToGrid w:val="0"/>
              <w:rPr>
                <w:rFonts w:ascii="宋体" w:hAnsi="宋体"/>
                <w:snapToGrid w:val="0"/>
                <w:kern w:val="0"/>
                <w:sz w:val="24"/>
              </w:rPr>
            </w:pPr>
            <w:r>
              <w:rPr>
                <w:rFonts w:ascii="宋体" w:hAnsi="宋体"/>
                <w:snapToGrid w:val="0"/>
                <w:kern w:val="0"/>
                <w:sz w:val="24"/>
              </w:rPr>
              <w:t>（2）评标价平均值的计算：</w:t>
            </w:r>
          </w:p>
          <w:p>
            <w:pPr>
              <w:widowControl/>
              <w:adjustRightInd w:val="0"/>
              <w:snapToGrid w:val="0"/>
              <w:spacing w:line="0" w:lineRule="atLeast"/>
              <w:textAlignment w:val="center"/>
              <w:rPr>
                <w:rFonts w:ascii="宋体" w:hAnsi="宋体"/>
                <w:snapToGrid w:val="0"/>
                <w:kern w:val="0"/>
                <w:sz w:val="24"/>
              </w:rPr>
            </w:pPr>
            <w:r>
              <w:rPr>
                <w:rFonts w:hint="eastAsia" w:ascii="宋体" w:hAnsi="宋体"/>
                <w:snapToGrid w:val="0"/>
                <w:kern w:val="0"/>
                <w:sz w:val="24"/>
              </w:rPr>
              <w:t>除按第二章“投标人须知”第5.2.4项规定在开标现场被宣布为不进入评标基准价计算的投标报价外的投标人评标价均参与计算评标价平均值：</w:t>
            </w:r>
          </w:p>
          <w:p>
            <w:pPr>
              <w:widowControl/>
              <w:adjustRightInd w:val="0"/>
              <w:snapToGrid w:val="0"/>
              <w:spacing w:line="0" w:lineRule="atLeast"/>
              <w:textAlignment w:val="center"/>
              <w:rPr>
                <w:rFonts w:ascii="宋体" w:hAnsi="宋体"/>
                <w:snapToGrid w:val="0"/>
                <w:kern w:val="0"/>
                <w:sz w:val="24"/>
              </w:rPr>
            </w:pPr>
            <w:r>
              <w:rPr>
                <w:rFonts w:hint="eastAsia" w:ascii="宋体" w:hAnsi="宋体"/>
                <w:snapToGrid w:val="0"/>
                <w:kern w:val="0"/>
                <w:sz w:val="24"/>
              </w:rPr>
              <w:t>如果参与评标价平均值计算的投标人数量小于等于5家，所有投标人报价的算数平均值即为评标价平均值；</w:t>
            </w:r>
          </w:p>
          <w:p>
            <w:pPr>
              <w:adjustRightInd w:val="0"/>
              <w:snapToGrid w:val="0"/>
              <w:spacing w:line="0" w:lineRule="atLeast"/>
              <w:rPr>
                <w:rFonts w:ascii="宋体" w:hAnsi="宋体"/>
                <w:snapToGrid w:val="0"/>
                <w:kern w:val="0"/>
                <w:sz w:val="24"/>
              </w:rPr>
            </w:pPr>
            <w:r>
              <w:rPr>
                <w:rFonts w:hint="eastAsia" w:ascii="宋体" w:hAnsi="宋体"/>
                <w:snapToGrid w:val="0"/>
                <w:kern w:val="0"/>
                <w:sz w:val="24"/>
              </w:rPr>
              <w:t>如果参与评标价平均值计算的投标人数量大于5家，所有投标人报价中去掉一个最高值和一个最低值后的算数平均值即为评标价平均值。</w:t>
            </w:r>
          </w:p>
          <w:p>
            <w:pPr>
              <w:adjustRightInd w:val="0"/>
              <w:snapToGrid w:val="0"/>
              <w:spacing w:line="0" w:lineRule="atLeast"/>
              <w:rPr>
                <w:rFonts w:ascii="宋体" w:hAnsi="宋体"/>
                <w:snapToGrid w:val="0"/>
                <w:kern w:val="0"/>
                <w:sz w:val="24"/>
              </w:rPr>
            </w:pPr>
            <w:r>
              <w:rPr>
                <w:rFonts w:ascii="宋体" w:hAnsi="宋体"/>
                <w:snapToGrid w:val="0"/>
                <w:kern w:val="0"/>
                <w:sz w:val="24"/>
              </w:rPr>
              <w:t>（3）评标基准价的确定：</w:t>
            </w:r>
            <w:r>
              <w:rPr>
                <w:rFonts w:hint="eastAsia" w:ascii="宋体" w:hAnsi="宋体"/>
                <w:snapToGrid w:val="0"/>
                <w:kern w:val="0"/>
                <w:sz w:val="24"/>
              </w:rPr>
              <w:t>评标价平均值直接作为评标基准价。</w:t>
            </w:r>
          </w:p>
          <w:p>
            <w:pPr>
              <w:snapToGrid w:val="0"/>
              <w:rPr>
                <w:rStyle w:val="8"/>
                <w:rFonts w:ascii="宋体" w:hAnsi="宋体"/>
                <w:sz w:val="24"/>
              </w:rPr>
            </w:pPr>
            <w:r>
              <w:rPr>
                <w:rStyle w:val="8"/>
                <w:rFonts w:hint="eastAsia" w:ascii="宋体" w:hAnsi="宋体"/>
                <w:sz w:val="24"/>
              </w:rPr>
              <w:t>（</w:t>
            </w:r>
            <w:r>
              <w:rPr>
                <w:rStyle w:val="8"/>
                <w:rFonts w:ascii="宋体" w:hAnsi="宋体"/>
                <w:sz w:val="24"/>
              </w:rPr>
              <w:t>4</w:t>
            </w:r>
            <w:r>
              <w:rPr>
                <w:rStyle w:val="8"/>
                <w:rFonts w:hint="eastAsia" w:ascii="宋体" w:hAnsi="宋体"/>
                <w:sz w:val="24"/>
              </w:rPr>
              <w:t>）</w:t>
            </w:r>
            <w:r>
              <w:rPr>
                <w:rStyle w:val="8"/>
                <w:rFonts w:ascii="宋体" w:hAnsi="宋体"/>
                <w:sz w:val="24"/>
              </w:rPr>
              <w:t>在评标过程中，评标委员会应对招标人计算的评标基准价进行复核，存在计算错误的应予以修正并在评标报告中作出说明。除此之外，评标基准价在整个评标期间保持不变，不随任何因素发生变化。</w:t>
            </w:r>
          </w:p>
          <w:p>
            <w:pPr>
              <w:adjustRightInd w:val="0"/>
              <w:snapToGrid w:val="0"/>
              <w:rPr>
                <w:rFonts w:ascii="宋体" w:hAnsi="宋体"/>
                <w:snapToGrid w:val="0"/>
                <w:kern w:val="0"/>
                <w:sz w:val="24"/>
              </w:rPr>
            </w:pPr>
            <w:r>
              <w:rPr>
                <w:rStyle w:val="8"/>
                <w:rFonts w:ascii="宋体" w:hAnsi="宋体"/>
                <w:sz w:val="24"/>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2.2.3</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ascii="宋体" w:hAnsi="宋体"/>
                <w:snapToGrid w:val="0"/>
                <w:kern w:val="0"/>
                <w:sz w:val="24"/>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3.6.1</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hint="eastAsia" w:ascii="宋体" w:hAnsi="宋体"/>
                <w:snapToGrid w:val="0"/>
                <w:kern w:val="0"/>
                <w:sz w:val="24"/>
              </w:rPr>
              <w:t>本条款不适用</w:t>
            </w:r>
          </w:p>
        </w:tc>
      </w:tr>
    </w:tbl>
    <w:p>
      <w:pPr>
        <w:pStyle w:val="3"/>
        <w:rPr>
          <w:rFonts w:ascii="宋体" w:hAnsi="宋体"/>
        </w:rPr>
      </w:pPr>
    </w:p>
    <w:p>
      <w:pPr>
        <w:pStyle w:val="3"/>
        <w:rPr>
          <w:rFonts w:ascii="宋体" w:hAnsi="宋体"/>
        </w:rPr>
      </w:pPr>
      <w:r>
        <w:br w:type="page"/>
      </w:r>
    </w:p>
    <w:tbl>
      <w:tblPr>
        <w:tblStyle w:val="6"/>
        <w:tblpPr w:leftFromText="180" w:rightFromText="180" w:vertAnchor="text" w:tblpXSpec="center" w:tblpY="1"/>
        <w:tblOverlap w:val="never"/>
        <w:tblW w:w="51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3"/>
        <w:gridCol w:w="780"/>
        <w:gridCol w:w="802"/>
        <w:gridCol w:w="1024"/>
        <w:gridCol w:w="910"/>
        <w:gridCol w:w="1430"/>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993" w:type="pct"/>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snapToGrid w:val="0"/>
                <w:kern w:val="0"/>
                <w:sz w:val="24"/>
              </w:rPr>
            </w:pPr>
            <w:bookmarkStart w:id="44" w:name="_Hlk136416415"/>
            <w:r>
              <w:rPr>
                <w:rFonts w:ascii="宋体" w:hAnsi="宋体"/>
                <w:b/>
                <w:bCs/>
                <w:snapToGrid w:val="0"/>
                <w:kern w:val="0"/>
                <w:sz w:val="24"/>
              </w:rPr>
              <w:t>评分因素与权重分值、评分标准</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492" w:type="pct"/>
            <w:gridSpan w:val="5"/>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评分因素与权重分值</w:t>
            </w:r>
          </w:p>
        </w:tc>
        <w:tc>
          <w:tcPr>
            <w:tcW w:w="2501" w:type="pct"/>
            <w:gridSpan w:val="2"/>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r>
              <w:rPr>
                <w:rFonts w:ascii="宋体" w:hAnsi="宋体"/>
                <w:snapToGrid w:val="0"/>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条款号</w:t>
            </w:r>
          </w:p>
        </w:tc>
        <w:tc>
          <w:tcPr>
            <w:tcW w:w="453"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评分</w:t>
            </w:r>
          </w:p>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因素</w:t>
            </w:r>
          </w:p>
        </w:tc>
        <w:tc>
          <w:tcPr>
            <w:tcW w:w="46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评分因素权重分值</w:t>
            </w:r>
          </w:p>
        </w:tc>
        <w:tc>
          <w:tcPr>
            <w:tcW w:w="595"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Style w:val="11"/>
                <w:rFonts w:hint="default"/>
                <w:snapToGrid w:val="0"/>
                <w:kern w:val="0"/>
                <w:sz w:val="24"/>
                <w:szCs w:val="24"/>
              </w:rPr>
              <w:t>各评分因素细分项</w:t>
            </w:r>
          </w:p>
        </w:tc>
        <w:tc>
          <w:tcPr>
            <w:tcW w:w="52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分值</w:t>
            </w:r>
          </w:p>
        </w:tc>
        <w:tc>
          <w:tcPr>
            <w:tcW w:w="2501" w:type="pct"/>
            <w:gridSpan w:val="2"/>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2.2.4（1）</w:t>
            </w:r>
          </w:p>
        </w:tc>
        <w:tc>
          <w:tcPr>
            <w:tcW w:w="453"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技术</w:t>
            </w:r>
          </w:p>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建议书</w:t>
            </w:r>
            <w:r>
              <w:rPr>
                <w:rFonts w:hint="eastAsia" w:hAnsi="宋体"/>
                <w:snapToGrid w:val="0"/>
                <w:kern w:val="0"/>
                <w:sz w:val="24"/>
                <w:szCs w:val="24"/>
              </w:rPr>
              <w:t>（暗标）</w:t>
            </w:r>
          </w:p>
        </w:tc>
        <w:tc>
          <w:tcPr>
            <w:tcW w:w="466"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35分</w:t>
            </w:r>
          </w:p>
        </w:tc>
        <w:tc>
          <w:tcPr>
            <w:tcW w:w="595"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r>
              <w:rPr>
                <w:rFonts w:hAnsi="宋体"/>
                <w:snapToGrid w:val="0"/>
                <w:kern w:val="0"/>
                <w:sz w:val="24"/>
                <w:szCs w:val="24"/>
              </w:rPr>
              <w:t>监理大纲和措施</w:t>
            </w:r>
          </w:p>
        </w:tc>
        <w:tc>
          <w:tcPr>
            <w:tcW w:w="529"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20分</w:t>
            </w:r>
          </w:p>
        </w:tc>
        <w:tc>
          <w:tcPr>
            <w:tcW w:w="831"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r>
              <w:rPr>
                <w:rFonts w:ascii="宋体" w:hAnsi="宋体"/>
                <w:snapToGrid w:val="0"/>
                <w:kern w:val="0"/>
                <w:sz w:val="24"/>
              </w:rPr>
              <w:t>对本招标项目监理工作范围和任务理解</w:t>
            </w:r>
          </w:p>
          <w:p>
            <w:pPr>
              <w:widowControl/>
              <w:adjustRightInd w:val="0"/>
              <w:snapToGrid w:val="0"/>
              <w:jc w:val="center"/>
              <w:rPr>
                <w:rFonts w:ascii="宋体" w:hAnsi="宋体"/>
                <w:snapToGrid w:val="0"/>
                <w:kern w:val="0"/>
                <w:sz w:val="24"/>
              </w:rPr>
            </w:pPr>
            <w:r>
              <w:rPr>
                <w:rFonts w:ascii="宋体" w:hAnsi="宋体"/>
                <w:snapToGrid w:val="0"/>
                <w:kern w:val="0"/>
                <w:sz w:val="24"/>
              </w:rPr>
              <w:t>（5分）</w:t>
            </w:r>
          </w:p>
        </w:tc>
        <w:tc>
          <w:tcPr>
            <w:tcW w:w="1677" w:type="pct"/>
            <w:tcBorders>
              <w:top w:val="single" w:color="auto" w:sz="4" w:space="0"/>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理解准确、全面、合理，符合项目要求，得4.0（不含）-5.0分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理解较准确、合理，得 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理解基本准确，得3.0分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bookmarkStart w:id="45" w:name="_Hlk142503403"/>
            <w:bookmarkStart w:id="46" w:name="_Hlk142503344"/>
            <w:r>
              <w:rPr>
                <w:rFonts w:hAnsi="宋体"/>
                <w:snapToGrid w:val="0"/>
                <w:kern w:val="0"/>
                <w:sz w:val="24"/>
                <w:szCs w:val="24"/>
              </w:rPr>
              <w:t>监理方案及</w:t>
            </w:r>
          </w:p>
          <w:bookmarkEnd w:id="45"/>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措施</w:t>
            </w:r>
            <w:bookmarkEnd w:id="46"/>
          </w:p>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（5分）</w:t>
            </w: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方案详尽，措施具体全面合理，可行性强，得4.0（不含）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方案较详尽，措施合理，可行性较好，得3.0（不含） -4.0（含）分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方案一般，措施基本合理，可行性一般，得3.0分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lang w:val="en-US"/>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监理工作</w:t>
            </w:r>
          </w:p>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程序</w:t>
            </w:r>
          </w:p>
          <w:p>
            <w:pPr>
              <w:widowControl/>
              <w:adjustRightInd w:val="0"/>
              <w:snapToGrid w:val="0"/>
              <w:jc w:val="center"/>
              <w:rPr>
                <w:rFonts w:ascii="宋体" w:hAnsi="宋体"/>
                <w:snapToGrid w:val="0"/>
                <w:kern w:val="0"/>
                <w:sz w:val="24"/>
              </w:rPr>
            </w:pPr>
            <w:r>
              <w:rPr>
                <w:rFonts w:ascii="宋体" w:hAnsi="宋体"/>
                <w:snapToGrid w:val="0"/>
                <w:kern w:val="0"/>
                <w:sz w:val="24"/>
              </w:rPr>
              <w:t>（10分）</w:t>
            </w: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内容齐全，阶段划分合理、正确，可实施性强，得8.0（不含） -10.0分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内容较齐全，阶段划分较合理，可实施性较好，得6.0（不含）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p>
        </w:tc>
        <w:tc>
          <w:tcPr>
            <w:tcW w:w="529"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831"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677"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内容基本齐全，阶段划分基本合理，可实施性一般，得6.0分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r>
              <w:rPr>
                <w:rFonts w:hAnsi="宋体"/>
                <w:snapToGrid w:val="0"/>
                <w:kern w:val="0"/>
                <w:sz w:val="24"/>
                <w:szCs w:val="24"/>
              </w:rPr>
              <w:t>本工程监理工作的重点与难点分析</w:t>
            </w:r>
          </w:p>
        </w:tc>
        <w:tc>
          <w:tcPr>
            <w:tcW w:w="529"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10分</w:t>
            </w:r>
          </w:p>
        </w:tc>
        <w:tc>
          <w:tcPr>
            <w:tcW w:w="2501"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分析透彻，对重点、难点把握准确；处理措施科学合理，有效可行，得8.0（不含）-10.0分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2501"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分析较透彻，对重点、难点把握较准确；处理措施合理，可行，得6.0（不含）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29"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2501"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分析基本到位，对重点、难点把握一般；处理措施基本合理，基本可行，得6.0分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r>
              <w:rPr>
                <w:rFonts w:hAnsi="宋体"/>
                <w:snapToGrid w:val="0"/>
                <w:kern w:val="0"/>
                <w:sz w:val="24"/>
                <w:szCs w:val="24"/>
              </w:rPr>
              <w:t>对本工程的建议</w:t>
            </w:r>
          </w:p>
        </w:tc>
        <w:tc>
          <w:tcPr>
            <w:tcW w:w="529"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5分</w:t>
            </w:r>
          </w:p>
        </w:tc>
        <w:tc>
          <w:tcPr>
            <w:tcW w:w="2501"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建议具体全面、可靠、合理，可实施性强，得4.0（不含）-5.0分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2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2501"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建议具体较全面、较合理，可实施性较好，得3.0（不含）-4.0（含）分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29"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2501"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建议基本合理，可实施性一般，得3.0分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2.2.4（2）</w:t>
            </w:r>
          </w:p>
        </w:tc>
        <w:tc>
          <w:tcPr>
            <w:tcW w:w="453"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主要</w:t>
            </w:r>
          </w:p>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人员</w:t>
            </w:r>
          </w:p>
        </w:tc>
        <w:tc>
          <w:tcPr>
            <w:tcW w:w="466"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25分</w:t>
            </w:r>
          </w:p>
        </w:tc>
        <w:tc>
          <w:tcPr>
            <w:tcW w:w="595"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总监理</w:t>
            </w:r>
          </w:p>
          <w:p>
            <w:pPr>
              <w:pStyle w:val="5"/>
              <w:adjustRightInd w:val="0"/>
              <w:snapToGrid w:val="0"/>
              <w:jc w:val="center"/>
              <w:textAlignment w:val="baseline"/>
              <w:rPr>
                <w:rStyle w:val="11"/>
                <w:rFonts w:hint="default"/>
                <w:snapToGrid w:val="0"/>
                <w:kern w:val="0"/>
                <w:sz w:val="24"/>
                <w:szCs w:val="24"/>
              </w:rPr>
            </w:pPr>
            <w:r>
              <w:rPr>
                <w:rFonts w:hAnsi="宋体"/>
                <w:snapToGrid w:val="0"/>
                <w:kern w:val="0"/>
                <w:sz w:val="24"/>
                <w:szCs w:val="24"/>
              </w:rPr>
              <w:t>工程师</w:t>
            </w:r>
          </w:p>
        </w:tc>
        <w:tc>
          <w:tcPr>
            <w:tcW w:w="52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15分</w:t>
            </w:r>
          </w:p>
        </w:tc>
        <w:tc>
          <w:tcPr>
            <w:tcW w:w="2501"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满足附录4资格审查条件（总监理工程师最低要求）的，得15分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2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10分</w:t>
            </w:r>
          </w:p>
        </w:tc>
        <w:tc>
          <w:tcPr>
            <w:tcW w:w="2501"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Style w:val="8"/>
                <w:rFonts w:ascii="宋体" w:hAnsi="宋体"/>
                <w:snapToGrid w:val="0"/>
                <w:sz w:val="24"/>
              </w:rPr>
              <w:t>近5年内（2018年1</w:t>
            </w:r>
            <w:r>
              <w:rPr>
                <w:rStyle w:val="8"/>
                <w:sz w:val="24"/>
              </w:rPr>
              <w:t>1</w:t>
            </w:r>
            <w:r>
              <w:rPr>
                <w:rStyle w:val="8"/>
                <w:rFonts w:ascii="宋体" w:hAnsi="宋体"/>
                <w:snapToGrid w:val="0"/>
                <w:sz w:val="24"/>
              </w:rPr>
              <w:t>月1日至</w:t>
            </w:r>
            <w:r>
              <w:rPr>
                <w:rStyle w:val="8"/>
                <w:rFonts w:hint="eastAsia" w:ascii="宋体" w:hAnsi="宋体"/>
                <w:snapToGrid w:val="0"/>
                <w:sz w:val="24"/>
              </w:rPr>
              <w:t>今</w:t>
            </w:r>
            <w:r>
              <w:rPr>
                <w:rStyle w:val="8"/>
                <w:rFonts w:ascii="宋体" w:hAnsi="宋体"/>
                <w:snapToGrid w:val="0"/>
                <w:sz w:val="24"/>
              </w:rPr>
              <w:t>，以</w:t>
            </w:r>
            <w:r>
              <w:rPr>
                <w:rStyle w:val="8"/>
                <w:rFonts w:hint="eastAsia" w:ascii="宋体" w:hAnsi="宋体"/>
                <w:snapToGrid w:val="0"/>
                <w:sz w:val="24"/>
              </w:rPr>
              <w:t>工程竣工时间为准</w:t>
            </w:r>
            <w:r>
              <w:rPr>
                <w:rStyle w:val="8"/>
                <w:rFonts w:ascii="宋体" w:hAnsi="宋体"/>
                <w:snapToGrid w:val="0"/>
                <w:sz w:val="24"/>
              </w:rPr>
              <w:t>）</w:t>
            </w:r>
            <w:r>
              <w:rPr>
                <w:rFonts w:ascii="宋体" w:hAnsi="宋体"/>
                <w:snapToGrid w:val="0"/>
                <w:kern w:val="0"/>
                <w:sz w:val="24"/>
              </w:rPr>
              <w:t>每增加1项</w:t>
            </w:r>
            <w:r>
              <w:rPr>
                <w:rFonts w:hint="eastAsia" w:ascii="宋体" w:hAnsi="宋体"/>
                <w:snapToGrid w:val="0"/>
                <w:kern w:val="0"/>
                <w:sz w:val="24"/>
              </w:rPr>
              <w:t>满足附录4资格审查条件（总监理工程师最低要求）</w:t>
            </w:r>
            <w:r>
              <w:rPr>
                <w:rFonts w:ascii="宋体" w:hAnsi="宋体"/>
                <w:snapToGrid w:val="0"/>
                <w:kern w:val="0"/>
                <w:sz w:val="24"/>
              </w:rPr>
              <w:t>的加5分，最多加10分</w:t>
            </w:r>
          </w:p>
          <w:p>
            <w:pPr>
              <w:widowControl/>
              <w:adjustRightInd w:val="0"/>
              <w:snapToGrid w:val="0"/>
              <w:rPr>
                <w:rFonts w:ascii="宋体" w:hAnsi="宋体"/>
                <w:snapToGrid w:val="0"/>
                <w:kern w:val="0"/>
                <w:sz w:val="24"/>
              </w:rPr>
            </w:pPr>
            <w:r>
              <w:rPr>
                <w:rStyle w:val="8"/>
                <w:rFonts w:hint="eastAsia" w:hAnsi="宋体"/>
                <w:snapToGrid w:val="0"/>
                <w:sz w:val="24"/>
              </w:rPr>
              <w:t>注：若所提交业绩为交通行业业绩证明材料以交工日期为准。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2.2.4（3）</w:t>
            </w:r>
          </w:p>
        </w:tc>
        <w:tc>
          <w:tcPr>
            <w:tcW w:w="453" w:type="pct"/>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评标价</w:t>
            </w:r>
          </w:p>
        </w:tc>
        <w:tc>
          <w:tcPr>
            <w:tcW w:w="466" w:type="pct"/>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10分</w:t>
            </w:r>
          </w:p>
        </w:tc>
        <w:tc>
          <w:tcPr>
            <w:tcW w:w="3625" w:type="pct"/>
            <w:gridSpan w:val="4"/>
            <w:tcBorders>
              <w:top w:val="single" w:color="auto" w:sz="4" w:space="0"/>
              <w:left w:val="single" w:color="auto" w:sz="4" w:space="0"/>
              <w:bottom w:val="single" w:color="auto" w:sz="4" w:space="0"/>
              <w:right w:val="single" w:color="auto" w:sz="4" w:space="0"/>
            </w:tcBorders>
            <w:vAlign w:val="center"/>
          </w:tcPr>
          <w:p>
            <w:pPr>
              <w:pStyle w:val="5"/>
              <w:adjustRightInd w:val="0"/>
              <w:snapToGrid w:val="0"/>
              <w:textAlignment w:val="baseline"/>
              <w:rPr>
                <w:rFonts w:hAnsi="宋体"/>
                <w:snapToGrid w:val="0"/>
                <w:kern w:val="0"/>
                <w:sz w:val="24"/>
                <w:szCs w:val="24"/>
              </w:rPr>
            </w:pPr>
            <w:r>
              <w:rPr>
                <w:rFonts w:hAnsi="宋体"/>
                <w:snapToGrid w:val="0"/>
                <w:kern w:val="0"/>
                <w:sz w:val="24"/>
                <w:szCs w:val="24"/>
              </w:rPr>
              <w:t>评标价得分计算公式示例：</w:t>
            </w:r>
          </w:p>
          <w:p>
            <w:pPr>
              <w:pStyle w:val="5"/>
              <w:adjustRightInd w:val="0"/>
              <w:snapToGrid w:val="0"/>
              <w:textAlignment w:val="baseline"/>
              <w:rPr>
                <w:rFonts w:hAnsi="宋体"/>
                <w:snapToGrid w:val="0"/>
                <w:kern w:val="0"/>
                <w:sz w:val="24"/>
                <w:szCs w:val="24"/>
              </w:rPr>
            </w:pPr>
            <w:r>
              <w:rPr>
                <w:rFonts w:hAnsi="宋体"/>
                <w:snapToGrid w:val="0"/>
                <w:kern w:val="0"/>
                <w:sz w:val="24"/>
                <w:szCs w:val="24"/>
              </w:rPr>
              <w:t>（1）如果投标人的评标价＞评标基准价，则评标价得分=F-（投标人评标价-评标基准价）/评标基准价×100×E1；</w:t>
            </w:r>
          </w:p>
          <w:p>
            <w:pPr>
              <w:pStyle w:val="5"/>
              <w:adjustRightInd w:val="0"/>
              <w:snapToGrid w:val="0"/>
              <w:textAlignment w:val="baseline"/>
              <w:rPr>
                <w:rFonts w:hAnsi="宋体"/>
                <w:snapToGrid w:val="0"/>
                <w:kern w:val="0"/>
                <w:sz w:val="24"/>
                <w:szCs w:val="24"/>
              </w:rPr>
            </w:pPr>
            <w:r>
              <w:rPr>
                <w:rFonts w:hAnsi="宋体"/>
                <w:snapToGrid w:val="0"/>
                <w:kern w:val="0"/>
                <w:sz w:val="24"/>
                <w:szCs w:val="24"/>
              </w:rPr>
              <w:t>（2）如果投标人的评标价≤评标基准价，则评标价得分=F+（投标人评标价-评标基准价）/评标基准价×100×E2。</w:t>
            </w:r>
          </w:p>
          <w:p>
            <w:pPr>
              <w:widowControl/>
              <w:adjustRightInd w:val="0"/>
              <w:snapToGrid w:val="0"/>
              <w:rPr>
                <w:rFonts w:ascii="宋体" w:hAnsi="宋体"/>
                <w:snapToGrid w:val="0"/>
                <w:kern w:val="0"/>
                <w:sz w:val="24"/>
              </w:rPr>
            </w:pPr>
            <w:r>
              <w:rPr>
                <w:rFonts w:ascii="宋体" w:hAnsi="宋体"/>
                <w:snapToGrid w:val="0"/>
                <w:kern w:val="0"/>
                <w:sz w:val="24"/>
              </w:rPr>
              <w:t>其中，F=10；E1=0.2；E2=0.1；评标价最低得分为0分</w:t>
            </w:r>
            <w:r>
              <w:rPr>
                <w:rFonts w:hint="eastAsia" w:ascii="宋体" w:hAnsi="宋体"/>
                <w:snapToGrid w:val="0"/>
                <w:kern w:val="0"/>
                <w:sz w:val="24"/>
              </w:rPr>
              <w:t>，</w:t>
            </w:r>
            <w:r>
              <w:rPr>
                <w:rFonts w:hint="eastAsia" w:hAnsi="宋体"/>
                <w:snapToGrid w:val="0"/>
                <w:kern w:val="0"/>
                <w:sz w:val="24"/>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2.2.4（4）</w:t>
            </w:r>
          </w:p>
        </w:tc>
        <w:tc>
          <w:tcPr>
            <w:tcW w:w="453"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其他</w:t>
            </w:r>
          </w:p>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因素</w:t>
            </w:r>
          </w:p>
        </w:tc>
        <w:tc>
          <w:tcPr>
            <w:tcW w:w="466" w:type="pct"/>
            <w:vMerge w:val="restart"/>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30分</w:t>
            </w:r>
          </w:p>
        </w:tc>
        <w:tc>
          <w:tcPr>
            <w:tcW w:w="595" w:type="pct"/>
            <w:vMerge w:val="restart"/>
            <w:tcBorders>
              <w:top w:val="single" w:color="auto" w:sz="4" w:space="0"/>
              <w:left w:val="single" w:color="auto" w:sz="4" w:space="0"/>
              <w:right w:val="single" w:color="auto" w:sz="4" w:space="0"/>
            </w:tcBorders>
            <w:vAlign w:val="center"/>
          </w:tcPr>
          <w:p>
            <w:pPr>
              <w:pStyle w:val="5"/>
              <w:adjustRightInd w:val="0"/>
              <w:snapToGrid w:val="0"/>
              <w:jc w:val="center"/>
              <w:textAlignment w:val="baseline"/>
              <w:rPr>
                <w:rStyle w:val="11"/>
                <w:rFonts w:hint="default"/>
                <w:snapToGrid w:val="0"/>
                <w:kern w:val="0"/>
                <w:sz w:val="24"/>
                <w:szCs w:val="24"/>
              </w:rPr>
            </w:pPr>
            <w:r>
              <w:rPr>
                <w:rFonts w:hAnsi="宋体"/>
                <w:snapToGrid w:val="0"/>
                <w:kern w:val="0"/>
                <w:sz w:val="24"/>
                <w:szCs w:val="24"/>
              </w:rPr>
              <w:t>业绩</w:t>
            </w:r>
          </w:p>
        </w:tc>
        <w:tc>
          <w:tcPr>
            <w:tcW w:w="52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18分</w:t>
            </w:r>
          </w:p>
        </w:tc>
        <w:tc>
          <w:tcPr>
            <w:tcW w:w="2501"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满足附录2资格审查条件（业绩最低要求）的，得18分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49"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p>
        </w:tc>
        <w:tc>
          <w:tcPr>
            <w:tcW w:w="52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jc w:val="center"/>
              <w:textAlignment w:val="baseline"/>
              <w:rPr>
                <w:rFonts w:hAnsi="宋体"/>
                <w:snapToGrid w:val="0"/>
                <w:kern w:val="0"/>
                <w:sz w:val="24"/>
                <w:szCs w:val="24"/>
              </w:rPr>
            </w:pPr>
            <w:r>
              <w:rPr>
                <w:rFonts w:hAnsi="宋体"/>
                <w:snapToGrid w:val="0"/>
                <w:kern w:val="0"/>
                <w:sz w:val="24"/>
                <w:szCs w:val="24"/>
              </w:rPr>
              <w:t>1</w:t>
            </w:r>
            <w:r>
              <w:rPr>
                <w:rFonts w:hAnsi="宋体"/>
                <w:kern w:val="0"/>
                <w:sz w:val="24"/>
                <w:szCs w:val="24"/>
              </w:rPr>
              <w:t>2</w:t>
            </w:r>
            <w:r>
              <w:rPr>
                <w:rFonts w:hAnsi="宋体"/>
                <w:snapToGrid w:val="0"/>
                <w:kern w:val="0"/>
                <w:sz w:val="24"/>
                <w:szCs w:val="24"/>
              </w:rPr>
              <w:t>分</w:t>
            </w:r>
          </w:p>
        </w:tc>
        <w:tc>
          <w:tcPr>
            <w:tcW w:w="2501"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近5年内（2018年11月1日至</w:t>
            </w:r>
            <w:r>
              <w:rPr>
                <w:rFonts w:hint="eastAsia" w:ascii="宋体" w:hAnsi="宋体"/>
                <w:snapToGrid w:val="0"/>
                <w:kern w:val="0"/>
                <w:sz w:val="24"/>
              </w:rPr>
              <w:t>今</w:t>
            </w:r>
            <w:r>
              <w:rPr>
                <w:rFonts w:ascii="宋体" w:hAnsi="宋体"/>
                <w:snapToGrid w:val="0"/>
                <w:kern w:val="0"/>
                <w:sz w:val="24"/>
              </w:rPr>
              <w:t>，以</w:t>
            </w:r>
            <w:r>
              <w:rPr>
                <w:rStyle w:val="8"/>
                <w:rFonts w:hint="eastAsia" w:ascii="宋体" w:hAnsi="宋体"/>
                <w:snapToGrid w:val="0"/>
                <w:sz w:val="24"/>
              </w:rPr>
              <w:t>工程竣工时间为准</w:t>
            </w:r>
            <w:r>
              <w:rPr>
                <w:rFonts w:ascii="宋体" w:hAnsi="宋体"/>
                <w:snapToGrid w:val="0"/>
                <w:kern w:val="0"/>
                <w:sz w:val="24"/>
              </w:rPr>
              <w:t>）每增加1项满足附录2资格审查条件（业绩最低要求）的业绩加6分，最多加12分。</w:t>
            </w:r>
          </w:p>
          <w:p>
            <w:pPr>
              <w:widowControl/>
              <w:adjustRightInd w:val="0"/>
              <w:snapToGrid w:val="0"/>
              <w:rPr>
                <w:rFonts w:ascii="宋体" w:hAnsi="宋体"/>
                <w:snapToGrid w:val="0"/>
                <w:kern w:val="0"/>
                <w:sz w:val="24"/>
              </w:rPr>
            </w:pPr>
            <w:r>
              <w:rPr>
                <w:rStyle w:val="8"/>
                <w:rFonts w:hint="eastAsia" w:hAnsi="宋体"/>
                <w:snapToGrid w:val="0"/>
                <w:sz w:val="24"/>
              </w:rPr>
              <w:t>注：若所提交业绩为交通行业业绩证明材料以交工日期为准。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993" w:type="pct"/>
            <w:gridSpan w:val="7"/>
            <w:tcBorders>
              <w:left w:val="single" w:color="auto" w:sz="4" w:space="0"/>
              <w:bottom w:val="single" w:color="auto" w:sz="4" w:space="0"/>
              <w:right w:val="single" w:color="auto" w:sz="4" w:space="0"/>
            </w:tcBorders>
            <w:vAlign w:val="center"/>
          </w:tcPr>
          <w:p>
            <w:pPr>
              <w:pStyle w:val="5"/>
              <w:adjustRightInd w:val="0"/>
              <w:snapToGrid w:val="0"/>
              <w:textAlignment w:val="baseline"/>
              <w:rPr>
                <w:rFonts w:hAnsi="宋体"/>
                <w:snapToGrid w:val="0"/>
                <w:kern w:val="0"/>
                <w:sz w:val="24"/>
                <w:szCs w:val="24"/>
              </w:rPr>
            </w:pPr>
            <w:r>
              <w:rPr>
                <w:rFonts w:hAnsi="宋体"/>
                <w:snapToGrid w:val="0"/>
                <w:kern w:val="0"/>
                <w:sz w:val="24"/>
                <w:szCs w:val="24"/>
              </w:rPr>
              <w:t>需要补充的其他内容：无</w:t>
            </w:r>
          </w:p>
        </w:tc>
      </w:tr>
    </w:tbl>
    <w:p>
      <w:pPr>
        <w:pStyle w:val="5"/>
        <w:adjustRightInd w:val="0"/>
        <w:snapToGrid w:val="0"/>
        <w:spacing w:line="360" w:lineRule="auto"/>
        <w:jc w:val="left"/>
        <w:textAlignment w:val="baseline"/>
        <w:rPr>
          <w:rFonts w:hAnsi="宋体"/>
          <w:snapToGrid w:val="0"/>
          <w:kern w:val="0"/>
          <w:sz w:val="24"/>
          <w:szCs w:val="24"/>
        </w:rPr>
      </w:pPr>
      <w:r>
        <w:rPr>
          <w:rFonts w:hAnsi="宋体"/>
          <w:snapToGrid w:val="0"/>
          <w:kern w:val="0"/>
          <w:sz w:val="24"/>
          <w:szCs w:val="24"/>
        </w:rPr>
        <w:t>注：</w:t>
      </w:r>
    </w:p>
    <w:p>
      <w:pPr>
        <w:pStyle w:val="5"/>
        <w:adjustRightInd w:val="0"/>
        <w:snapToGrid w:val="0"/>
        <w:spacing w:line="360" w:lineRule="auto"/>
        <w:jc w:val="left"/>
        <w:textAlignment w:val="baseline"/>
        <w:rPr>
          <w:rFonts w:hAnsi="宋体"/>
          <w:snapToGrid w:val="0"/>
          <w:kern w:val="0"/>
          <w:sz w:val="24"/>
          <w:szCs w:val="24"/>
        </w:rPr>
      </w:pPr>
      <w:r>
        <w:rPr>
          <w:rFonts w:hint="eastAsia" w:hAnsi="宋体"/>
          <w:snapToGrid w:val="0"/>
          <w:kern w:val="0"/>
          <w:sz w:val="24"/>
          <w:szCs w:val="24"/>
        </w:rPr>
        <w:t>1、评委打分保留1位小数；</w:t>
      </w:r>
    </w:p>
    <w:p>
      <w:pPr>
        <w:pStyle w:val="5"/>
        <w:adjustRightInd w:val="0"/>
        <w:snapToGrid w:val="0"/>
        <w:spacing w:line="360" w:lineRule="auto"/>
        <w:jc w:val="left"/>
        <w:textAlignment w:val="baseline"/>
        <w:rPr>
          <w:rFonts w:hAnsi="宋体"/>
          <w:snapToGrid w:val="0"/>
          <w:kern w:val="0"/>
          <w:sz w:val="24"/>
          <w:szCs w:val="24"/>
        </w:rPr>
      </w:pPr>
      <w:r>
        <w:rPr>
          <w:rFonts w:hint="eastAsia" w:hAnsi="宋体"/>
          <w:snapToGrid w:val="0"/>
          <w:kern w:val="0"/>
          <w:sz w:val="24"/>
          <w:szCs w:val="24"/>
        </w:rPr>
        <w:t>2、各评分因素得分以评标委员会各成员的打分平均值确定，保留 2 位小数；</w:t>
      </w:r>
    </w:p>
    <w:p>
      <w:r>
        <w:rPr>
          <w:rFonts w:hAnsi="宋体"/>
          <w:snapToGrid w:val="0"/>
          <w:kern w:val="0"/>
          <w:sz w:val="24"/>
          <w:szCs w:val="24"/>
        </w:rPr>
        <w:t>3</w:t>
      </w:r>
      <w:r>
        <w:rPr>
          <w:rFonts w:hint="eastAsia" w:hAnsi="宋体"/>
          <w:snapToGrid w:val="0"/>
          <w:kern w:val="0"/>
          <w:sz w:val="24"/>
          <w:szCs w:val="24"/>
        </w:rPr>
        <w:t>、技术建议书各评分因素细分项缺项，则该项得 0 分。</w:t>
      </w:r>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C53557"/>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semiHidden/>
    <w:unhideWhenUsed/>
    <w:qFormat/>
    <w:uiPriority w:val="99"/>
    <w:pPr>
      <w:spacing w:after="120" w:line="480" w:lineRule="auto"/>
    </w:pPr>
  </w:style>
  <w:style w:type="paragraph" w:styleId="5">
    <w:name w:val="Plain Text"/>
    <w:basedOn w:val="1"/>
    <w:qFormat/>
    <w:uiPriority w:val="0"/>
    <w:rPr>
      <w:rFonts w:ascii="宋体"/>
      <w:szCs w:val="21"/>
    </w:rPr>
  </w:style>
  <w:style w:type="character" w:customStyle="1" w:styleId="8">
    <w:name w:val="NormalCharacter"/>
    <w:link w:val="9"/>
    <w:qFormat/>
    <w:uiPriority w:val="0"/>
    <w:rPr>
      <w:rFonts w:asciiTheme="minorHAnsi" w:hAnsiTheme="minorHAnsi" w:eastAsiaTheme="minorEastAsia" w:cstheme="minorBidi"/>
      <w:szCs w:val="22"/>
    </w:rPr>
  </w:style>
  <w:style w:type="paragraph" w:customStyle="1" w:styleId="9">
    <w:name w:val="UserStyle_24"/>
    <w:basedOn w:val="1"/>
    <w:link w:val="8"/>
    <w:qFormat/>
    <w:uiPriority w:val="0"/>
    <w:pPr>
      <w:widowControl/>
      <w:spacing w:line="360" w:lineRule="auto"/>
      <w:ind w:firstLine="200" w:firstLineChars="200"/>
      <w:jc w:val="left"/>
    </w:pPr>
    <w:rPr>
      <w:rFonts w:asciiTheme="minorHAnsi" w:hAnsiTheme="minorHAnsi" w:eastAsiaTheme="minorEastAsia" w:cstheme="minorBidi"/>
      <w:szCs w:val="22"/>
    </w:rPr>
  </w:style>
  <w:style w:type="paragraph" w:customStyle="1" w:styleId="10">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1">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2023-11-11T01:12:41Z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