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0" w:lineRule="exact"/>
        <w:rPr>
          <w:rFonts w:hint="eastAsia" w:ascii="宋体" w:hAnsi="宋体"/>
          <w:b/>
          <w:sz w:val="24"/>
        </w:rPr>
      </w:pPr>
      <w:bookmarkStart w:id="0" w:name="_Hlk480902747"/>
      <w:r>
        <w:rPr>
          <w:rFonts w:hint="eastAsia" w:ascii="宋体" w:hAnsi="宋体"/>
          <w:b/>
          <w:sz w:val="24"/>
        </w:rPr>
        <w:t>附件1：资格审查条件</w:t>
      </w:r>
    </w:p>
    <w:p>
      <w:pPr>
        <w:jc w:val="center"/>
        <w:rPr>
          <w:rFonts w:ascii="宋体" w:hAnsi="宋体"/>
          <w:b/>
          <w:sz w:val="28"/>
        </w:rPr>
      </w:pPr>
      <w:bookmarkStart w:id="1" w:name="_Hlk44490902"/>
      <w:bookmarkStart w:id="2" w:name="_Hlk508099212"/>
    </w:p>
    <w:p>
      <w:pPr>
        <w:jc w:val="center"/>
        <w:rPr>
          <w:rFonts w:ascii="宋体" w:hAnsi="宋体"/>
          <w:b/>
          <w:sz w:val="28"/>
        </w:rPr>
      </w:pPr>
      <w:r>
        <w:rPr>
          <w:rFonts w:hint="eastAsia" w:ascii="宋体" w:hAnsi="宋体"/>
          <w:b/>
          <w:sz w:val="28"/>
        </w:rPr>
        <w:t>附录</w:t>
      </w:r>
      <w:r>
        <w:rPr>
          <w:rFonts w:ascii="宋体" w:hAnsi="宋体"/>
          <w:b/>
          <w:sz w:val="28"/>
        </w:rPr>
        <w:t xml:space="preserve">1 </w:t>
      </w:r>
      <w:r>
        <w:rPr>
          <w:rFonts w:hint="eastAsia" w:ascii="宋体" w:hAnsi="宋体"/>
          <w:b/>
          <w:sz w:val="28"/>
        </w:rPr>
        <w:t>资格审查条件</w:t>
      </w:r>
      <w:r>
        <w:rPr>
          <w:rFonts w:ascii="宋体" w:hAnsi="宋体"/>
          <w:b/>
          <w:sz w:val="28"/>
        </w:rPr>
        <w:t>(</w:t>
      </w:r>
      <w:r>
        <w:rPr>
          <w:rFonts w:hint="eastAsia" w:ascii="宋体" w:hAnsi="宋体"/>
          <w:b/>
          <w:sz w:val="28"/>
        </w:rPr>
        <w:t>资质最低条件</w:t>
      </w:r>
      <w:r>
        <w:rPr>
          <w:rFonts w:ascii="宋体" w:hAnsi="宋体"/>
          <w:b/>
          <w:sz w:val="28"/>
        </w:rPr>
        <w:t>)</w:t>
      </w:r>
    </w:p>
    <w:p>
      <w:pPr>
        <w:jc w:val="center"/>
        <w:rPr>
          <w:rFonts w:ascii="宋体" w:hAnsi="宋体"/>
          <w:b/>
          <w:sz w:val="28"/>
        </w:rPr>
      </w:pPr>
    </w:p>
    <w:bookmarkEnd w:id="1"/>
    <w:tbl>
      <w:tblPr>
        <w:tblStyle w:val="6"/>
        <w:tblW w:w="812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1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79" w:hRule="atLeast"/>
          <w:jc w:val="center"/>
        </w:trPr>
        <w:tc>
          <w:tcPr>
            <w:tcW w:w="8120" w:type="dxa"/>
            <w:noWrap w:val="0"/>
            <w:vAlign w:val="center"/>
          </w:tcPr>
          <w:p>
            <w:pPr>
              <w:spacing w:line="400" w:lineRule="exact"/>
              <w:jc w:val="center"/>
              <w:rPr>
                <w:rFonts w:hint="eastAsia" w:ascii="宋体" w:hAnsi="宋体" w:cs="宋体"/>
                <w:bCs/>
                <w:szCs w:val="21"/>
              </w:rPr>
            </w:pPr>
            <w:r>
              <w:rPr>
                <w:rFonts w:hint="eastAsia" w:ascii="宋体" w:hAnsi="宋体" w:cs="宋体"/>
                <w:bCs/>
                <w:szCs w:val="21"/>
              </w:rPr>
              <w:t>资质要求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5" w:hRule="atLeast"/>
          <w:jc w:val="center"/>
        </w:trPr>
        <w:tc>
          <w:tcPr>
            <w:tcW w:w="8120" w:type="dxa"/>
            <w:vMerge w:val="restart"/>
            <w:noWrap w:val="0"/>
            <w:vAlign w:val="center"/>
          </w:tcPr>
          <w:p>
            <w:pPr>
              <w:spacing w:line="400" w:lineRule="exact"/>
              <w:rPr>
                <w:rFonts w:hint="eastAsia" w:ascii="宋体" w:hAnsi="宋体" w:cs="宋体"/>
                <w:spacing w:val="-2"/>
                <w:szCs w:val="21"/>
              </w:rPr>
            </w:pPr>
            <w:r>
              <w:rPr>
                <w:rFonts w:hint="eastAsia" w:ascii="宋体" w:hAnsi="宋体" w:cs="宋体"/>
                <w:spacing w:val="-2"/>
                <w:szCs w:val="21"/>
              </w:rPr>
              <w:t>具备独立企业法人资格,持有有效的企业营业执照；</w:t>
            </w:r>
          </w:p>
          <w:p>
            <w:pPr>
              <w:spacing w:line="400" w:lineRule="exact"/>
              <w:rPr>
                <w:rFonts w:hint="eastAsia" w:ascii="宋体" w:hAnsi="宋体" w:cs="宋体"/>
                <w:spacing w:val="-2"/>
                <w:szCs w:val="21"/>
              </w:rPr>
            </w:pPr>
            <w:r>
              <w:rPr>
                <w:rFonts w:hint="eastAsia" w:ascii="宋体" w:hAnsi="宋体" w:cs="宋体"/>
                <w:spacing w:val="-2"/>
                <w:szCs w:val="21"/>
              </w:rPr>
              <w:t>具有住房和城乡建设主管部门颁发的建筑工程施工总承包叁级以上（含叁级）资质（如果为新的资质则应具有住房和城乡建设部门颁发的建筑工程施工总承包乙级以上（含乙级）资质）；</w:t>
            </w:r>
          </w:p>
          <w:p>
            <w:pPr>
              <w:spacing w:line="400" w:lineRule="exact"/>
              <w:rPr>
                <w:rFonts w:hint="eastAsia" w:ascii="宋体" w:hAnsi="宋体" w:cs="宋体"/>
                <w:bCs/>
                <w:szCs w:val="21"/>
              </w:rPr>
            </w:pPr>
            <w:r>
              <w:rPr>
                <w:rFonts w:hint="eastAsia" w:ascii="宋体" w:hAnsi="宋体"/>
                <w:szCs w:val="21"/>
              </w:rPr>
              <w:t>具有</w:t>
            </w:r>
            <w:r>
              <w:rPr>
                <w:rFonts w:hint="eastAsia" w:ascii="宋体" w:hAnsi="宋体" w:cs="宋体"/>
                <w:spacing w:val="-2"/>
                <w:szCs w:val="21"/>
              </w:rPr>
              <w:t>住房和城乡建设主管部门</w:t>
            </w:r>
            <w:r>
              <w:rPr>
                <w:rFonts w:hint="eastAsia" w:ascii="宋体" w:hAnsi="宋体"/>
                <w:szCs w:val="21"/>
              </w:rPr>
              <w:t>核发的有效的安全生产许可证</w:t>
            </w:r>
            <w:r>
              <w:rPr>
                <w:rFonts w:hint="eastAsia" w:ascii="宋体" w:hAnsi="宋体" w:cs="宋体"/>
                <w:spacing w:val="-2"/>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80" w:hRule="atLeast"/>
          <w:jc w:val="center"/>
        </w:trPr>
        <w:tc>
          <w:tcPr>
            <w:tcW w:w="8120" w:type="dxa"/>
            <w:vMerge w:val="continue"/>
            <w:noWrap w:val="0"/>
            <w:vAlign w:val="center"/>
          </w:tcPr>
          <w:p>
            <w:pPr>
              <w:spacing w:line="400" w:lineRule="exact"/>
              <w:rPr>
                <w:rFonts w:hint="eastAsia" w:ascii="宋体" w:hAnsi="宋体" w:cs="宋体"/>
                <w:spacing w:val="-2"/>
                <w:szCs w:val="21"/>
              </w:rPr>
            </w:pPr>
          </w:p>
        </w:tc>
      </w:tr>
    </w:tbl>
    <w:p>
      <w:pPr>
        <w:jc w:val="center"/>
        <w:rPr>
          <w:rFonts w:hint="eastAsia" w:ascii="宋体" w:hAnsi="宋体"/>
          <w:b/>
          <w:sz w:val="28"/>
        </w:rPr>
      </w:pPr>
    </w:p>
    <w:p>
      <w:pPr>
        <w:jc w:val="center"/>
        <w:rPr>
          <w:rFonts w:hint="eastAsia" w:ascii="宋体" w:hAnsi="宋体"/>
          <w:b/>
          <w:sz w:val="28"/>
        </w:rPr>
      </w:pPr>
      <w:r>
        <w:rPr>
          <w:rFonts w:hint="eastAsia" w:ascii="宋体" w:hAnsi="宋体"/>
          <w:b/>
          <w:sz w:val="28"/>
        </w:rPr>
        <w:t xml:space="preserve">附录2 </w:t>
      </w:r>
      <w:bookmarkStart w:id="3" w:name="_Hlk11917531"/>
      <w:r>
        <w:rPr>
          <w:rFonts w:hint="eastAsia" w:ascii="宋体" w:hAnsi="宋体"/>
          <w:b/>
          <w:sz w:val="28"/>
        </w:rPr>
        <w:t>资格审查条件(财务最低条件)</w:t>
      </w:r>
    </w:p>
    <w:p>
      <w:pPr>
        <w:pStyle w:val="2"/>
        <w:rPr>
          <w:rFonts w:hint="eastAsia"/>
        </w:rPr>
      </w:pPr>
    </w:p>
    <w:bookmarkEnd w:id="3"/>
    <w:tbl>
      <w:tblPr>
        <w:tblStyle w:val="6"/>
        <w:tblW w:w="812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1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8" w:hRule="atLeast"/>
          <w:jc w:val="center"/>
        </w:trPr>
        <w:tc>
          <w:tcPr>
            <w:tcW w:w="8120" w:type="dxa"/>
            <w:noWrap w:val="0"/>
            <w:vAlign w:val="center"/>
          </w:tcPr>
          <w:p>
            <w:pPr>
              <w:spacing w:line="400" w:lineRule="exact"/>
              <w:jc w:val="center"/>
              <w:rPr>
                <w:rFonts w:hint="eastAsia" w:ascii="宋体" w:hAnsi="宋体" w:cs="宋体"/>
                <w:bCs/>
                <w:szCs w:val="21"/>
              </w:rPr>
            </w:pPr>
            <w:bookmarkStart w:id="4" w:name="_Hlk11917579"/>
            <w:r>
              <w:rPr>
                <w:rFonts w:hint="eastAsia" w:ascii="宋体" w:hAnsi="宋体" w:cs="宋体"/>
                <w:bCs/>
                <w:szCs w:val="21"/>
              </w:rPr>
              <w:t>财务要求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05" w:hRule="atLeast"/>
          <w:jc w:val="center"/>
        </w:trPr>
        <w:tc>
          <w:tcPr>
            <w:tcW w:w="8120" w:type="dxa"/>
            <w:noWrap w:val="0"/>
            <w:vAlign w:val="center"/>
          </w:tcPr>
          <w:p>
            <w:pPr>
              <w:spacing w:line="400" w:lineRule="exact"/>
              <w:jc w:val="left"/>
              <w:rPr>
                <w:rFonts w:hint="eastAsia" w:ascii="宋体" w:hAnsi="宋体"/>
                <w:szCs w:val="21"/>
              </w:rPr>
            </w:pPr>
            <w:r>
              <w:rPr>
                <w:rFonts w:ascii="宋体" w:hAnsi="宋体"/>
                <w:szCs w:val="21"/>
              </w:rPr>
              <w:t>投标人承诺为本项目所提供的营运资金以及为申请本项目而专门开具的银行信贷证明总和不得少于</w:t>
            </w:r>
            <w:r>
              <w:rPr>
                <w:rFonts w:hint="eastAsia" w:ascii="宋体" w:hAnsi="宋体"/>
                <w:szCs w:val="21"/>
              </w:rPr>
              <w:t>200</w:t>
            </w:r>
            <w:r>
              <w:rPr>
                <w:rFonts w:ascii="宋体" w:hAnsi="宋体"/>
                <w:szCs w:val="21"/>
              </w:rPr>
              <w:t>万元 (营运资金按经会计事务所或审计机构审计的</w:t>
            </w:r>
            <w:r>
              <w:rPr>
                <w:rFonts w:hint="eastAsia" w:ascii="宋体" w:hAnsi="宋体"/>
                <w:szCs w:val="21"/>
              </w:rPr>
              <w:t>2022</w:t>
            </w:r>
            <w:r>
              <w:rPr>
                <w:rFonts w:ascii="宋体" w:hAnsi="宋体"/>
                <w:szCs w:val="21"/>
              </w:rPr>
              <w:t>年度财务会计报表中“流动资产-流动负债”计算，以年末数为准。)</w:t>
            </w:r>
          </w:p>
        </w:tc>
      </w:tr>
    </w:tbl>
    <w:p>
      <w:pPr>
        <w:rPr>
          <w:rFonts w:hint="eastAsia" w:ascii="宋体" w:hAnsi="宋体"/>
          <w:b/>
          <w:sz w:val="28"/>
        </w:rPr>
      </w:pPr>
    </w:p>
    <w:p>
      <w:pPr>
        <w:jc w:val="center"/>
        <w:rPr>
          <w:rFonts w:ascii="宋体" w:hAnsi="宋体"/>
          <w:b/>
          <w:sz w:val="28"/>
        </w:rPr>
      </w:pPr>
      <w:r>
        <w:rPr>
          <w:rFonts w:hint="eastAsia" w:ascii="宋体" w:hAnsi="宋体"/>
          <w:b/>
          <w:sz w:val="28"/>
        </w:rPr>
        <w:t>附录</w:t>
      </w:r>
      <w:r>
        <w:rPr>
          <w:rFonts w:ascii="宋体" w:hAnsi="宋体"/>
          <w:b/>
          <w:sz w:val="28"/>
        </w:rPr>
        <w:t xml:space="preserve">3 </w:t>
      </w:r>
      <w:r>
        <w:rPr>
          <w:rFonts w:hint="eastAsia" w:ascii="宋体" w:hAnsi="宋体"/>
          <w:b/>
          <w:sz w:val="28"/>
        </w:rPr>
        <w:t>资格审查条件</w:t>
      </w:r>
      <w:r>
        <w:rPr>
          <w:rFonts w:ascii="宋体" w:hAnsi="宋体"/>
          <w:b/>
          <w:sz w:val="28"/>
        </w:rPr>
        <w:t>(</w:t>
      </w:r>
      <w:r>
        <w:rPr>
          <w:rFonts w:hint="eastAsia" w:ascii="宋体" w:hAnsi="宋体"/>
          <w:b/>
          <w:sz w:val="28"/>
        </w:rPr>
        <w:t>业绩最低条件</w:t>
      </w:r>
      <w:r>
        <w:rPr>
          <w:rFonts w:ascii="宋体" w:hAnsi="宋体"/>
          <w:b/>
          <w:sz w:val="28"/>
        </w:rPr>
        <w:t>)</w:t>
      </w:r>
    </w:p>
    <w:p>
      <w:pPr>
        <w:pStyle w:val="2"/>
        <w:rPr>
          <w:rFonts w:hint="eastAsia"/>
        </w:rPr>
      </w:pPr>
    </w:p>
    <w:bookmarkEnd w:id="4"/>
    <w:tbl>
      <w:tblPr>
        <w:tblStyle w:val="6"/>
        <w:tblW w:w="823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3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9" w:hRule="atLeast"/>
          <w:tblHeader/>
          <w:jc w:val="center"/>
        </w:trPr>
        <w:tc>
          <w:tcPr>
            <w:tcW w:w="8234" w:type="dxa"/>
            <w:noWrap w:val="0"/>
            <w:vAlign w:val="center"/>
          </w:tcPr>
          <w:p>
            <w:pPr>
              <w:adjustRightInd w:val="0"/>
              <w:snapToGrid w:val="0"/>
              <w:spacing w:line="400" w:lineRule="exact"/>
              <w:jc w:val="center"/>
              <w:rPr>
                <w:rFonts w:hint="eastAsia" w:ascii="宋体" w:hAnsi="宋体" w:cs="宋体"/>
                <w:bCs/>
                <w:szCs w:val="21"/>
              </w:rPr>
            </w:pPr>
            <w:r>
              <w:rPr>
                <w:rFonts w:hint="eastAsia" w:ascii="宋体" w:hAnsi="宋体" w:cs="宋体"/>
                <w:bCs/>
                <w:szCs w:val="21"/>
              </w:rPr>
              <w:t>业绩要求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60" w:hRule="atLeast"/>
          <w:jc w:val="center"/>
        </w:trPr>
        <w:tc>
          <w:tcPr>
            <w:tcW w:w="8234" w:type="dxa"/>
            <w:noWrap w:val="0"/>
            <w:vAlign w:val="center"/>
          </w:tcPr>
          <w:p>
            <w:pPr>
              <w:spacing w:line="400" w:lineRule="exact"/>
              <w:jc w:val="left"/>
              <w:rPr>
                <w:rFonts w:hint="eastAsia" w:ascii="宋体" w:hAnsi="宋体"/>
                <w:szCs w:val="21"/>
              </w:rPr>
            </w:pPr>
            <w:r>
              <w:rPr>
                <w:rFonts w:hint="eastAsia" w:ascii="宋体" w:hAnsi="宋体"/>
                <w:szCs w:val="21"/>
              </w:rPr>
              <w:t>近五年（2018年</w:t>
            </w:r>
            <w:r>
              <w:rPr>
                <w:rFonts w:hint="eastAsia" w:ascii="宋体" w:hAnsi="宋体"/>
                <w:szCs w:val="21"/>
                <w:lang w:eastAsia="zh-CN"/>
              </w:rPr>
              <w:t>11月1日</w:t>
            </w:r>
            <w:r>
              <w:rPr>
                <w:rFonts w:hint="eastAsia" w:ascii="宋体" w:hAnsi="宋体"/>
                <w:szCs w:val="21"/>
              </w:rPr>
              <w:t>至今，以交工或竣工时间为准）至少独立完成1项合同金额不少于</w:t>
            </w:r>
            <w:r>
              <w:rPr>
                <w:rFonts w:ascii="宋体" w:hAnsi="宋体"/>
                <w:szCs w:val="21"/>
              </w:rPr>
              <w:t>700</w:t>
            </w:r>
            <w:r>
              <w:rPr>
                <w:rFonts w:hint="eastAsia" w:ascii="宋体" w:hAnsi="宋体"/>
                <w:szCs w:val="21"/>
              </w:rPr>
              <w:t>万元的房建工程施工项目。</w:t>
            </w:r>
          </w:p>
        </w:tc>
      </w:tr>
    </w:tbl>
    <w:p>
      <w:pPr>
        <w:jc w:val="left"/>
        <w:rPr>
          <w:rFonts w:ascii="宋体" w:hAnsi="宋体"/>
          <w:b/>
          <w:sz w:val="28"/>
        </w:rPr>
      </w:pPr>
    </w:p>
    <w:p>
      <w:pPr>
        <w:jc w:val="center"/>
        <w:rPr>
          <w:rFonts w:ascii="宋体" w:hAnsi="宋体"/>
          <w:b/>
          <w:sz w:val="28"/>
        </w:rPr>
      </w:pPr>
      <w:r>
        <w:rPr>
          <w:rFonts w:hint="eastAsia" w:ascii="宋体" w:hAnsi="宋体"/>
          <w:b/>
          <w:sz w:val="28"/>
        </w:rPr>
        <w:t>附录</w:t>
      </w:r>
      <w:r>
        <w:rPr>
          <w:rFonts w:ascii="宋体" w:hAnsi="宋体"/>
          <w:b/>
          <w:sz w:val="28"/>
        </w:rPr>
        <w:t xml:space="preserve">4 </w:t>
      </w:r>
      <w:r>
        <w:rPr>
          <w:rFonts w:hint="eastAsia" w:ascii="宋体" w:hAnsi="宋体"/>
          <w:b/>
          <w:sz w:val="28"/>
        </w:rPr>
        <w:t>资格审查条件</w:t>
      </w:r>
      <w:r>
        <w:rPr>
          <w:rFonts w:ascii="宋体" w:hAnsi="宋体"/>
          <w:b/>
          <w:sz w:val="28"/>
        </w:rPr>
        <w:t>(</w:t>
      </w:r>
      <w:r>
        <w:rPr>
          <w:rFonts w:hint="eastAsia" w:ascii="宋体" w:hAnsi="宋体"/>
          <w:b/>
          <w:sz w:val="28"/>
        </w:rPr>
        <w:t>信誉最低条件</w:t>
      </w:r>
      <w:r>
        <w:rPr>
          <w:rFonts w:ascii="宋体" w:hAnsi="宋体"/>
          <w:b/>
          <w:sz w:val="28"/>
        </w:rPr>
        <w:t>)</w:t>
      </w:r>
    </w:p>
    <w:p>
      <w:pPr>
        <w:pStyle w:val="2"/>
        <w:rPr>
          <w:rFonts w:hint="eastAsia"/>
        </w:rPr>
      </w:pPr>
    </w:p>
    <w:tbl>
      <w:tblPr>
        <w:tblStyle w:val="6"/>
        <w:tblW w:w="827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7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9" w:hRule="atLeast"/>
          <w:tblHeader/>
          <w:jc w:val="center"/>
        </w:trPr>
        <w:tc>
          <w:tcPr>
            <w:tcW w:w="8278" w:type="dxa"/>
            <w:noWrap w:val="0"/>
            <w:vAlign w:val="center"/>
          </w:tcPr>
          <w:p>
            <w:pPr>
              <w:adjustRightInd w:val="0"/>
              <w:snapToGrid w:val="0"/>
              <w:spacing w:line="400" w:lineRule="exact"/>
              <w:ind w:left="-105" w:leftChars="-50" w:right="-78" w:rightChars="-37"/>
              <w:jc w:val="center"/>
              <w:rPr>
                <w:rFonts w:hint="eastAsia" w:ascii="宋体" w:hAnsi="宋体" w:cs="宋体"/>
                <w:bCs/>
                <w:szCs w:val="21"/>
              </w:rPr>
            </w:pPr>
            <w:bookmarkStart w:id="5" w:name="_Hlk11917842"/>
            <w:bookmarkStart w:id="6" w:name="_Hlk51596299"/>
            <w:r>
              <w:rPr>
                <w:rFonts w:hint="eastAsia" w:ascii="宋体" w:hAnsi="宋体" w:cs="宋体"/>
                <w:bCs/>
                <w:szCs w:val="21"/>
              </w:rPr>
              <w:t>信誉要求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jc w:val="center"/>
        </w:trPr>
        <w:tc>
          <w:tcPr>
            <w:tcW w:w="8278" w:type="dxa"/>
            <w:vMerge w:val="restart"/>
            <w:noWrap w:val="0"/>
            <w:vAlign w:val="center"/>
          </w:tcPr>
          <w:p>
            <w:pPr>
              <w:spacing w:line="400" w:lineRule="exact"/>
              <w:jc w:val="left"/>
              <w:rPr>
                <w:rFonts w:hint="eastAsia" w:ascii="宋体" w:hAnsi="宋体" w:cs="宋体"/>
                <w:bCs/>
                <w:szCs w:val="21"/>
              </w:rPr>
            </w:pPr>
            <w:r>
              <w:rPr>
                <w:rFonts w:ascii="宋体" w:hAnsi="宋体"/>
                <w:szCs w:val="21"/>
              </w:rPr>
              <w:t>投标人过去</w:t>
            </w:r>
            <w:r>
              <w:rPr>
                <w:rFonts w:hint="eastAsia" w:ascii="宋体" w:hAnsi="宋体"/>
                <w:szCs w:val="21"/>
              </w:rPr>
              <w:t>1</w:t>
            </w:r>
            <w:r>
              <w:rPr>
                <w:rFonts w:ascii="宋体" w:hAnsi="宋体"/>
                <w:szCs w:val="21"/>
              </w:rPr>
              <w:t>年(</w:t>
            </w:r>
            <w:r>
              <w:rPr>
                <w:rFonts w:hint="eastAsia" w:ascii="宋体" w:hAnsi="宋体"/>
                <w:szCs w:val="21"/>
              </w:rPr>
              <w:t>2022年</w:t>
            </w:r>
            <w:r>
              <w:rPr>
                <w:rFonts w:hint="eastAsia" w:ascii="宋体" w:hAnsi="宋体"/>
                <w:szCs w:val="21"/>
                <w:lang w:eastAsia="zh-CN"/>
              </w:rPr>
              <w:t>11月1日</w:t>
            </w:r>
            <w:r>
              <w:rPr>
                <w:rFonts w:hint="eastAsia" w:ascii="宋体" w:hAnsi="宋体"/>
                <w:szCs w:val="21"/>
              </w:rPr>
              <w:t>至今</w:t>
            </w:r>
            <w:r>
              <w:rPr>
                <w:rFonts w:ascii="宋体" w:hAnsi="宋体"/>
                <w:szCs w:val="21"/>
              </w:rPr>
              <w:t>)中不曾在</w:t>
            </w:r>
            <w:r>
              <w:rPr>
                <w:rFonts w:hint="eastAsia" w:ascii="宋体" w:hAnsi="宋体"/>
                <w:szCs w:val="21"/>
              </w:rPr>
              <w:t>高速公路房建</w:t>
            </w:r>
            <w:r>
              <w:rPr>
                <w:rFonts w:ascii="宋体" w:hAnsi="宋体"/>
                <w:szCs w:val="21"/>
              </w:rPr>
              <w:t>施工合同中违约而被驱逐或因投标人自身的原因而使合同被解除</w:t>
            </w:r>
            <w:r>
              <w:rPr>
                <w:rFonts w:hint="eastAsia" w:ascii="宋体" w:hAnsi="宋体"/>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5" w:hRule="atLeast"/>
          <w:jc w:val="center"/>
        </w:trPr>
        <w:tc>
          <w:tcPr>
            <w:tcW w:w="8278" w:type="dxa"/>
            <w:vMerge w:val="continue"/>
            <w:noWrap w:val="0"/>
            <w:vAlign w:val="center"/>
          </w:tcPr>
          <w:p>
            <w:pPr>
              <w:spacing w:line="400" w:lineRule="exact"/>
              <w:jc w:val="left"/>
              <w:rPr>
                <w:rFonts w:hint="eastAsia" w:ascii="宋体" w:hAnsi="宋体" w:cs="宋体"/>
                <w:bCs/>
                <w:szCs w:val="21"/>
              </w:rPr>
            </w:pPr>
          </w:p>
        </w:tc>
      </w:tr>
    </w:tbl>
    <w:p>
      <w:pPr>
        <w:jc w:val="center"/>
        <w:rPr>
          <w:rFonts w:ascii="宋体" w:hAnsi="宋体"/>
          <w:b/>
          <w:sz w:val="28"/>
        </w:rPr>
      </w:pPr>
    </w:p>
    <w:p>
      <w:pPr>
        <w:jc w:val="center"/>
        <w:rPr>
          <w:rFonts w:hint="eastAsia" w:ascii="宋体" w:hAnsi="宋体"/>
          <w:b/>
          <w:sz w:val="28"/>
        </w:rPr>
      </w:pPr>
    </w:p>
    <w:p>
      <w:pPr>
        <w:jc w:val="center"/>
        <w:rPr>
          <w:rFonts w:hint="eastAsia" w:ascii="宋体" w:hAnsi="宋体"/>
          <w:b/>
          <w:sz w:val="28"/>
        </w:rPr>
      </w:pPr>
    </w:p>
    <w:p>
      <w:pPr>
        <w:jc w:val="center"/>
        <w:rPr>
          <w:rFonts w:hint="eastAsia" w:ascii="宋体" w:hAnsi="宋体"/>
          <w:b/>
          <w:sz w:val="28"/>
        </w:rPr>
      </w:pPr>
    </w:p>
    <w:p>
      <w:pPr>
        <w:jc w:val="center"/>
        <w:rPr>
          <w:rFonts w:ascii="宋体" w:hAnsi="宋体"/>
          <w:b/>
          <w:sz w:val="28"/>
        </w:rPr>
      </w:pPr>
      <w:r>
        <w:rPr>
          <w:rFonts w:hint="eastAsia" w:ascii="宋体" w:hAnsi="宋体"/>
          <w:b/>
          <w:sz w:val="28"/>
        </w:rPr>
        <w:t>附录</w:t>
      </w:r>
      <w:r>
        <w:rPr>
          <w:rFonts w:ascii="宋体" w:hAnsi="宋体"/>
          <w:b/>
          <w:sz w:val="28"/>
        </w:rPr>
        <w:t xml:space="preserve">5 </w:t>
      </w:r>
      <w:r>
        <w:rPr>
          <w:rFonts w:hint="eastAsia" w:ascii="宋体" w:hAnsi="宋体"/>
          <w:b/>
          <w:sz w:val="28"/>
        </w:rPr>
        <w:t>资格审查条件（项目经理最低要求）</w:t>
      </w:r>
      <w:bookmarkEnd w:id="5"/>
    </w:p>
    <w:bookmarkEnd w:id="2"/>
    <w:bookmarkEnd w:id="6"/>
    <w:p>
      <w:pPr>
        <w:spacing w:line="400" w:lineRule="exact"/>
        <w:ind w:firstLine="420" w:firstLineChars="200"/>
        <w:rPr>
          <w:rFonts w:ascii="宋体" w:hAnsi="宋体"/>
        </w:rPr>
      </w:pPr>
    </w:p>
    <w:tbl>
      <w:tblPr>
        <w:tblStyle w:val="6"/>
        <w:tblW w:w="755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65"/>
        <w:gridCol w:w="690"/>
        <w:gridCol w:w="3849"/>
        <w:gridCol w:w="195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1" w:hRule="atLeast"/>
          <w:jc w:val="center"/>
        </w:trPr>
        <w:tc>
          <w:tcPr>
            <w:tcW w:w="1065" w:type="dxa"/>
            <w:noWrap w:val="0"/>
            <w:vAlign w:val="center"/>
          </w:tcPr>
          <w:p>
            <w:pPr>
              <w:spacing w:line="400" w:lineRule="exact"/>
              <w:jc w:val="center"/>
              <w:rPr>
                <w:rFonts w:hint="eastAsia" w:ascii="宋体" w:hAnsi="宋体" w:cs="宋体"/>
                <w:bCs/>
                <w:szCs w:val="21"/>
              </w:rPr>
            </w:pPr>
            <w:r>
              <w:rPr>
                <w:rFonts w:hint="eastAsia" w:ascii="宋体" w:hAnsi="宋体" w:cs="宋体"/>
                <w:bCs/>
                <w:szCs w:val="21"/>
              </w:rPr>
              <w:t>人员</w:t>
            </w:r>
          </w:p>
        </w:tc>
        <w:tc>
          <w:tcPr>
            <w:tcW w:w="690" w:type="dxa"/>
            <w:noWrap w:val="0"/>
            <w:vAlign w:val="center"/>
          </w:tcPr>
          <w:p>
            <w:pPr>
              <w:spacing w:line="400" w:lineRule="exact"/>
              <w:jc w:val="center"/>
              <w:rPr>
                <w:rFonts w:hint="eastAsia" w:ascii="宋体" w:hAnsi="宋体" w:cs="宋体"/>
                <w:bCs/>
                <w:szCs w:val="21"/>
              </w:rPr>
            </w:pPr>
            <w:r>
              <w:rPr>
                <w:rFonts w:hint="eastAsia" w:ascii="宋体" w:hAnsi="宋体" w:cs="宋体"/>
                <w:bCs/>
                <w:szCs w:val="21"/>
              </w:rPr>
              <w:t>数量</w:t>
            </w:r>
          </w:p>
        </w:tc>
        <w:tc>
          <w:tcPr>
            <w:tcW w:w="3849" w:type="dxa"/>
            <w:noWrap w:val="0"/>
            <w:vAlign w:val="center"/>
          </w:tcPr>
          <w:p>
            <w:pPr>
              <w:snapToGrid w:val="0"/>
              <w:spacing w:line="400" w:lineRule="exact"/>
              <w:jc w:val="center"/>
              <w:rPr>
                <w:rFonts w:hint="eastAsia" w:ascii="宋体" w:hAnsi="宋体" w:cs="宋体"/>
                <w:szCs w:val="21"/>
              </w:rPr>
            </w:pPr>
            <w:r>
              <w:rPr>
                <w:rFonts w:hint="eastAsia" w:ascii="宋体" w:hAnsi="宋体" w:cs="宋体"/>
                <w:bCs/>
                <w:szCs w:val="21"/>
              </w:rPr>
              <w:t>资格要求</w:t>
            </w:r>
          </w:p>
        </w:tc>
        <w:tc>
          <w:tcPr>
            <w:tcW w:w="1950" w:type="dxa"/>
            <w:noWrap w:val="0"/>
            <w:vAlign w:val="center"/>
          </w:tcPr>
          <w:p>
            <w:pPr>
              <w:jc w:val="center"/>
              <w:rPr>
                <w:rFonts w:hint="eastAsia" w:ascii="宋体" w:hAnsi="宋体"/>
                <w:szCs w:val="21"/>
              </w:rPr>
            </w:pPr>
            <w:r>
              <w:rPr>
                <w:rFonts w:hint="eastAsia" w:ascii="宋体" w:hAnsi="宋体" w:cs="宋体"/>
                <w:kern w:val="0"/>
                <w:szCs w:val="21"/>
              </w:rPr>
              <w:t>在岗要求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47" w:hRule="atLeast"/>
          <w:jc w:val="center"/>
        </w:trPr>
        <w:tc>
          <w:tcPr>
            <w:tcW w:w="1065" w:type="dxa"/>
            <w:noWrap w:val="0"/>
            <w:vAlign w:val="center"/>
          </w:tcPr>
          <w:p>
            <w:pPr>
              <w:spacing w:line="400" w:lineRule="exact"/>
              <w:jc w:val="center"/>
              <w:rPr>
                <w:rFonts w:hint="eastAsia" w:ascii="宋体" w:hAnsi="宋体" w:cs="宋体"/>
                <w:bCs/>
                <w:szCs w:val="21"/>
              </w:rPr>
            </w:pPr>
            <w:r>
              <w:rPr>
                <w:rFonts w:hint="eastAsia" w:ascii="宋体" w:hAnsi="宋体" w:cs="宋体"/>
                <w:bCs/>
                <w:szCs w:val="21"/>
              </w:rPr>
              <w:t>项目经理</w:t>
            </w:r>
          </w:p>
        </w:tc>
        <w:tc>
          <w:tcPr>
            <w:tcW w:w="690" w:type="dxa"/>
            <w:noWrap w:val="0"/>
            <w:vAlign w:val="center"/>
          </w:tcPr>
          <w:p>
            <w:pPr>
              <w:spacing w:line="400" w:lineRule="exact"/>
              <w:jc w:val="center"/>
              <w:rPr>
                <w:rFonts w:hint="eastAsia" w:ascii="宋体" w:hAnsi="宋体" w:cs="宋体"/>
                <w:bCs/>
                <w:szCs w:val="21"/>
              </w:rPr>
            </w:pPr>
            <w:r>
              <w:rPr>
                <w:rFonts w:hint="eastAsia" w:ascii="宋体" w:hAnsi="宋体" w:cs="宋体"/>
                <w:bCs/>
                <w:szCs w:val="21"/>
              </w:rPr>
              <w:t>1</w:t>
            </w:r>
          </w:p>
        </w:tc>
        <w:tc>
          <w:tcPr>
            <w:tcW w:w="3849" w:type="dxa"/>
            <w:noWrap w:val="0"/>
            <w:vAlign w:val="center"/>
          </w:tcPr>
          <w:p>
            <w:pPr>
              <w:spacing w:line="400" w:lineRule="exact"/>
              <w:rPr>
                <w:rFonts w:hint="eastAsia" w:ascii="宋体" w:hAnsi="宋体" w:cs="宋体"/>
                <w:bCs/>
                <w:szCs w:val="21"/>
              </w:rPr>
            </w:pPr>
            <w:r>
              <w:rPr>
                <w:rFonts w:hint="eastAsia" w:ascii="宋体" w:hAnsi="宋体" w:cs="宋体"/>
                <w:bCs/>
                <w:szCs w:val="21"/>
              </w:rPr>
              <w:t>工程师，具有“二</w:t>
            </w:r>
            <w:r>
              <w:rPr>
                <w:rFonts w:ascii="宋体" w:hAnsi="宋体" w:cs="宋体"/>
                <w:bCs/>
                <w:szCs w:val="21"/>
              </w:rPr>
              <w:t>级建造师注册证书（建筑工程专业）</w:t>
            </w:r>
            <w:r>
              <w:rPr>
                <w:rFonts w:hint="eastAsia" w:ascii="宋体" w:hAnsi="宋体" w:cs="宋体"/>
                <w:bCs/>
                <w:szCs w:val="21"/>
              </w:rPr>
              <w:t>”，具有</w:t>
            </w:r>
            <w:r>
              <w:rPr>
                <w:rFonts w:ascii="宋体" w:hAnsi="宋体" w:cs="宋体"/>
                <w:bCs/>
                <w:szCs w:val="21"/>
              </w:rPr>
              <w:t>省级及以上住房和城乡建设</w:t>
            </w:r>
            <w:r>
              <w:rPr>
                <w:rFonts w:hint="eastAsia" w:ascii="宋体" w:hAnsi="宋体" w:cs="宋体"/>
                <w:bCs/>
                <w:szCs w:val="21"/>
              </w:rPr>
              <w:t>行政主管部门颁发的《安全生产考核合格证书》B类。近五年（2018年</w:t>
            </w:r>
            <w:r>
              <w:rPr>
                <w:rFonts w:hint="eastAsia" w:ascii="宋体" w:hAnsi="宋体" w:cs="宋体"/>
                <w:bCs/>
                <w:szCs w:val="21"/>
                <w:lang w:eastAsia="zh-CN"/>
              </w:rPr>
              <w:t>11月1日</w:t>
            </w:r>
            <w:r>
              <w:rPr>
                <w:rFonts w:hint="eastAsia" w:ascii="宋体" w:hAnsi="宋体" w:cs="宋体"/>
                <w:bCs/>
                <w:szCs w:val="21"/>
              </w:rPr>
              <w:t>至今，以交工或竣工时间为准）至少担任过1项</w:t>
            </w:r>
            <w:r>
              <w:rPr>
                <w:rFonts w:hint="eastAsia" w:ascii="宋体" w:hAnsi="宋体"/>
                <w:szCs w:val="21"/>
              </w:rPr>
              <w:t>合同金额不少于</w:t>
            </w:r>
            <w:r>
              <w:rPr>
                <w:rFonts w:ascii="宋体" w:hAnsi="宋体"/>
                <w:szCs w:val="21"/>
              </w:rPr>
              <w:t>700</w:t>
            </w:r>
            <w:r>
              <w:rPr>
                <w:rFonts w:hint="eastAsia" w:ascii="宋体" w:hAnsi="宋体"/>
                <w:szCs w:val="21"/>
              </w:rPr>
              <w:t>万元的</w:t>
            </w:r>
            <w:r>
              <w:rPr>
                <w:rFonts w:ascii="宋体" w:hAnsi="宋体" w:cs="宋体"/>
                <w:bCs/>
                <w:szCs w:val="21"/>
              </w:rPr>
              <w:t>房建工程施工</w:t>
            </w:r>
            <w:r>
              <w:rPr>
                <w:rFonts w:hint="eastAsia" w:ascii="宋体" w:hAnsi="宋体" w:cs="宋体"/>
                <w:bCs/>
                <w:szCs w:val="21"/>
              </w:rPr>
              <w:t>的项目经理/项目副经理/项目总工。</w:t>
            </w:r>
          </w:p>
        </w:tc>
        <w:tc>
          <w:tcPr>
            <w:tcW w:w="1950" w:type="dxa"/>
            <w:noWrap w:val="0"/>
            <w:vAlign w:val="center"/>
          </w:tcPr>
          <w:p>
            <w:pPr>
              <w:rPr>
                <w:rFonts w:hint="eastAsia" w:ascii="宋体" w:hAnsi="宋体" w:cs="宋体"/>
                <w:bCs/>
                <w:szCs w:val="21"/>
              </w:rPr>
            </w:pPr>
            <w:r>
              <w:rPr>
                <w:rFonts w:hint="eastAsia" w:ascii="宋体" w:hAnsi="宋体" w:cs="宋体"/>
                <w:bCs/>
                <w:szCs w:val="21"/>
              </w:rPr>
              <w:t>未在其他项目上任职，或虽在其他项目上任职但本项目中标后能够从该项目撤离。</w:t>
            </w:r>
          </w:p>
        </w:tc>
      </w:tr>
    </w:tbl>
    <w:p>
      <w:pPr>
        <w:rPr>
          <w:rFonts w:ascii="宋体" w:hAnsi="宋体"/>
        </w:rPr>
      </w:pPr>
    </w:p>
    <w:p>
      <w:pPr>
        <w:jc w:val="left"/>
        <w:rPr>
          <w:rFonts w:hint="eastAsia" w:ascii="宋体" w:hAnsi="宋体"/>
          <w:szCs w:val="21"/>
        </w:rPr>
      </w:pPr>
      <w:r>
        <w:rPr>
          <w:rFonts w:hint="eastAsia" w:ascii="宋体" w:hAnsi="宋体"/>
          <w:b/>
          <w:szCs w:val="21"/>
        </w:rPr>
        <w:t>注：项目经理的注册建造师证书和安全生产考核合格证书的单位须与投标人单位名称一致。</w:t>
      </w:r>
      <w:r>
        <w:rPr>
          <w:rFonts w:ascii="宋体" w:hAnsi="宋体"/>
        </w:rPr>
        <w:br w:type="page"/>
      </w:r>
      <w:r>
        <w:rPr>
          <w:rFonts w:hint="eastAsia" w:ascii="宋体" w:hAnsi="宋体"/>
          <w:b/>
          <w:sz w:val="24"/>
        </w:rPr>
        <w:t>附件</w:t>
      </w:r>
      <w:r>
        <w:rPr>
          <w:rFonts w:ascii="宋体" w:hAnsi="宋体"/>
          <w:b/>
          <w:sz w:val="24"/>
        </w:rPr>
        <w:t>2</w:t>
      </w:r>
      <w:r>
        <w:rPr>
          <w:rFonts w:hint="eastAsia" w:ascii="宋体" w:hAnsi="宋体"/>
          <w:b/>
          <w:sz w:val="24"/>
        </w:rPr>
        <w:t>：评标办法</w:t>
      </w:r>
    </w:p>
    <w:bookmarkEnd w:id="0"/>
    <w:tbl>
      <w:tblPr>
        <w:tblStyle w:val="6"/>
        <w:tblW w:w="9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6"/>
        <w:gridCol w:w="1322"/>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8" w:type="dxa"/>
            <w:gridSpan w:val="2"/>
            <w:noWrap w:val="0"/>
            <w:vAlign w:val="center"/>
          </w:tcPr>
          <w:p>
            <w:pPr>
              <w:adjustRightInd w:val="0"/>
              <w:snapToGrid w:val="0"/>
              <w:spacing w:line="300" w:lineRule="auto"/>
              <w:jc w:val="center"/>
              <w:rPr>
                <w:rFonts w:hint="eastAsia" w:ascii="宋体" w:hAnsi="宋体"/>
                <w:b/>
                <w:szCs w:val="21"/>
              </w:rPr>
            </w:pPr>
            <w:r>
              <w:rPr>
                <w:rFonts w:hint="eastAsia" w:ascii="宋体" w:hAnsi="宋体"/>
                <w:b/>
                <w:szCs w:val="21"/>
              </w:rPr>
              <w:t>条款号</w:t>
            </w:r>
          </w:p>
        </w:tc>
        <w:tc>
          <w:tcPr>
            <w:tcW w:w="7222" w:type="dxa"/>
            <w:noWrap w:val="0"/>
            <w:vAlign w:val="center"/>
          </w:tcPr>
          <w:p>
            <w:pPr>
              <w:adjustRightInd w:val="0"/>
              <w:snapToGrid w:val="0"/>
              <w:spacing w:line="300" w:lineRule="auto"/>
              <w:jc w:val="center"/>
              <w:rPr>
                <w:rFonts w:hint="eastAsia" w:ascii="宋体" w:hAnsi="宋体"/>
                <w:b/>
                <w:szCs w:val="21"/>
              </w:rPr>
            </w:pPr>
            <w:r>
              <w:rPr>
                <w:rFonts w:hint="eastAsia" w:ascii="宋体" w:hAnsi="宋体"/>
                <w:b/>
                <w:szCs w:val="21"/>
              </w:rPr>
              <w:t>评审因素与标准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827" w:hRule="atLeast"/>
          <w:jc w:val="center"/>
        </w:trPr>
        <w:tc>
          <w:tcPr>
            <w:tcW w:w="1146" w:type="dxa"/>
            <w:noWrap w:val="0"/>
            <w:vAlign w:val="center"/>
          </w:tcPr>
          <w:p>
            <w:pPr>
              <w:jc w:val="center"/>
              <w:rPr>
                <w:rFonts w:hint="eastAsia" w:ascii="宋体" w:hAnsi="宋体"/>
                <w:b/>
                <w:szCs w:val="21"/>
              </w:rPr>
            </w:pPr>
            <w:r>
              <w:rPr>
                <w:rFonts w:hint="eastAsia" w:ascii="宋体" w:hAnsi="宋体"/>
                <w:b/>
                <w:szCs w:val="21"/>
              </w:rPr>
              <w:t>1</w:t>
            </w:r>
          </w:p>
        </w:tc>
        <w:tc>
          <w:tcPr>
            <w:tcW w:w="1322" w:type="dxa"/>
            <w:noWrap w:val="0"/>
            <w:vAlign w:val="center"/>
          </w:tcPr>
          <w:p>
            <w:pPr>
              <w:jc w:val="center"/>
              <w:rPr>
                <w:rFonts w:hint="eastAsia" w:ascii="宋体" w:hAnsi="宋体"/>
                <w:b/>
              </w:rPr>
            </w:pPr>
            <w:r>
              <w:rPr>
                <w:rFonts w:hint="eastAsia" w:ascii="宋体" w:hAnsi="宋体"/>
                <w:szCs w:val="21"/>
              </w:rPr>
              <w:t>评标办法</w:t>
            </w:r>
          </w:p>
        </w:tc>
        <w:tc>
          <w:tcPr>
            <w:tcW w:w="7222" w:type="dxa"/>
            <w:noWrap w:val="0"/>
            <w:vAlign w:val="center"/>
          </w:tcPr>
          <w:p>
            <w:pPr>
              <w:adjustRightInd w:val="0"/>
              <w:snapToGrid w:val="0"/>
              <w:rPr>
                <w:rFonts w:ascii="宋体" w:hAnsi="宋体"/>
                <w:szCs w:val="21"/>
              </w:rPr>
            </w:pPr>
            <w:r>
              <w:rPr>
                <w:rFonts w:hint="eastAsia" w:ascii="宋体" w:hAnsi="宋体"/>
                <w:szCs w:val="21"/>
              </w:rPr>
              <w:t>本条修改为：</w:t>
            </w:r>
          </w:p>
          <w:p>
            <w:pPr>
              <w:adjustRightInd w:val="0"/>
              <w:snapToGrid w:val="0"/>
              <w:ind w:firstLine="420" w:firstLineChars="200"/>
              <w:rPr>
                <w:rFonts w:ascii="宋体" w:hAnsi="宋体"/>
                <w:szCs w:val="21"/>
              </w:rPr>
            </w:pPr>
            <w:r>
              <w:rPr>
                <w:rFonts w:hint="eastAsia" w:ascii="宋体" w:hAnsi="宋体"/>
                <w:szCs w:val="21"/>
              </w:rPr>
              <w:t>本次评标采用合理低价法，双信封形式。</w:t>
            </w:r>
          </w:p>
          <w:p>
            <w:pPr>
              <w:adjustRightInd w:val="0"/>
              <w:snapToGrid w:val="0"/>
              <w:rPr>
                <w:rFonts w:hint="eastAsia" w:ascii="宋体" w:hAnsi="宋体"/>
                <w:szCs w:val="21"/>
              </w:rPr>
            </w:pPr>
            <w:r>
              <w:rPr>
                <w:rFonts w:hint="eastAsia" w:ascii="宋体" w:hAnsi="宋体"/>
                <w:szCs w:val="21"/>
              </w:rPr>
              <w:t>评标委员会对满足招标文件实质性要求的投标文件按照本章第2.2款规定的评分标准进行打分，并按得分由高到低顺序推荐3名中标候选人，如中标候选人不足3名的，按照相应数量推荐。综合评分相等时，以评标价低的优先；评标价也相等的，以所附业绩（满足资格审查业绩最低条件）累计合同金额大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6" w:type="dxa"/>
            <w:noWrap w:val="0"/>
            <w:vAlign w:val="center"/>
          </w:tcPr>
          <w:p>
            <w:pPr>
              <w:adjustRightInd w:val="0"/>
              <w:snapToGrid w:val="0"/>
              <w:spacing w:line="320" w:lineRule="exact"/>
              <w:jc w:val="center"/>
              <w:rPr>
                <w:rFonts w:hint="eastAsia" w:ascii="宋体" w:hAnsi="宋体"/>
                <w:szCs w:val="21"/>
              </w:rPr>
            </w:pPr>
            <w:r>
              <w:rPr>
                <w:rFonts w:hint="eastAsia" w:ascii="宋体" w:hAnsi="宋体"/>
                <w:szCs w:val="21"/>
              </w:rPr>
              <w:t>2.1.1</w:t>
            </w:r>
          </w:p>
          <w:p>
            <w:pPr>
              <w:adjustRightInd w:val="0"/>
              <w:snapToGrid w:val="0"/>
              <w:spacing w:line="320" w:lineRule="exact"/>
              <w:jc w:val="center"/>
              <w:rPr>
                <w:rFonts w:hint="eastAsia" w:ascii="宋体" w:hAnsi="宋体"/>
                <w:szCs w:val="21"/>
              </w:rPr>
            </w:pPr>
            <w:r>
              <w:rPr>
                <w:rFonts w:hint="eastAsia" w:ascii="宋体" w:hAnsi="宋体"/>
                <w:szCs w:val="21"/>
              </w:rPr>
              <w:t>2.1.3</w:t>
            </w:r>
          </w:p>
        </w:tc>
        <w:tc>
          <w:tcPr>
            <w:tcW w:w="1322" w:type="dxa"/>
            <w:noWrap w:val="0"/>
            <w:vAlign w:val="center"/>
          </w:tcPr>
          <w:p>
            <w:pPr>
              <w:adjustRightInd w:val="0"/>
              <w:snapToGrid w:val="0"/>
              <w:spacing w:line="320" w:lineRule="exact"/>
              <w:jc w:val="center"/>
              <w:rPr>
                <w:rFonts w:hint="eastAsia" w:ascii="宋体" w:hAnsi="宋体"/>
                <w:szCs w:val="21"/>
              </w:rPr>
            </w:pPr>
            <w:r>
              <w:rPr>
                <w:rFonts w:hint="eastAsia" w:ascii="宋体" w:hAnsi="宋体"/>
                <w:szCs w:val="21"/>
              </w:rPr>
              <w:t>形式评审与响应性评审标准</w:t>
            </w:r>
          </w:p>
        </w:tc>
        <w:tc>
          <w:tcPr>
            <w:tcW w:w="7222" w:type="dxa"/>
            <w:noWrap w:val="0"/>
            <w:vAlign w:val="center"/>
          </w:tcPr>
          <w:p>
            <w:pPr>
              <w:ind w:firstLine="420" w:firstLineChars="200"/>
              <w:rPr>
                <w:rFonts w:ascii="宋体" w:hAnsi="宋体"/>
                <w:szCs w:val="21"/>
              </w:rPr>
            </w:pPr>
          </w:p>
          <w:p>
            <w:pPr>
              <w:ind w:firstLine="420" w:firstLineChars="200"/>
              <w:rPr>
                <w:rFonts w:hint="eastAsia" w:ascii="宋体" w:hAnsi="宋体"/>
                <w:szCs w:val="21"/>
              </w:rPr>
            </w:pPr>
            <w:r>
              <w:rPr>
                <w:rFonts w:hint="eastAsia" w:ascii="宋体" w:hAnsi="宋体"/>
                <w:szCs w:val="21"/>
              </w:rPr>
              <w:t>第一信封（商务文件）评审标准：</w:t>
            </w:r>
          </w:p>
          <w:p>
            <w:pPr>
              <w:ind w:firstLine="420" w:firstLineChars="20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）投标文件按照招标文件规定的格式、内容填写，字迹清晰可辨：</w:t>
            </w:r>
          </w:p>
          <w:p>
            <w:pPr>
              <w:ind w:firstLine="420" w:firstLineChars="200"/>
              <w:rPr>
                <w:rFonts w:hint="eastAsia" w:ascii="宋体" w:hAnsi="宋体"/>
                <w:szCs w:val="21"/>
              </w:rPr>
            </w:pPr>
            <w:r>
              <w:rPr>
                <w:rFonts w:hint="eastAsia" w:ascii="宋体" w:hAnsi="宋体"/>
                <w:szCs w:val="21"/>
              </w:rPr>
              <w:t>a.投标函按招标文件规定填写；</w:t>
            </w:r>
          </w:p>
          <w:p>
            <w:pPr>
              <w:ind w:firstLine="420" w:firstLineChars="200"/>
              <w:rPr>
                <w:rFonts w:hint="eastAsia" w:ascii="宋体" w:hAnsi="宋体"/>
                <w:szCs w:val="21"/>
              </w:rPr>
            </w:pPr>
            <w:r>
              <w:rPr>
                <w:rFonts w:hint="eastAsia" w:ascii="宋体" w:hAnsi="宋体"/>
                <w:szCs w:val="21"/>
              </w:rPr>
              <w:t>b.投标函附录的所有数据均符合招标文件规定；</w:t>
            </w:r>
          </w:p>
          <w:p>
            <w:pPr>
              <w:ind w:firstLine="420" w:firstLineChars="200"/>
              <w:rPr>
                <w:rFonts w:ascii="宋体" w:hAnsi="宋体"/>
                <w:szCs w:val="21"/>
              </w:rPr>
            </w:pPr>
            <w:r>
              <w:rPr>
                <w:rFonts w:hint="eastAsia" w:ascii="宋体" w:hAnsi="宋体"/>
                <w:szCs w:val="21"/>
              </w:rPr>
              <w:t>c.投标文件组成齐全完整，内容均按规定填写。</w:t>
            </w:r>
          </w:p>
          <w:p>
            <w:pPr>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）投标文件上法定代表人或其授权代理人的签字、投标人的单位章盖章齐全，符合招标文件规定。</w:t>
            </w:r>
          </w:p>
          <w:p>
            <w:pPr>
              <w:spacing w:line="276" w:lineRule="auto"/>
              <w:ind w:firstLine="420" w:firstLineChars="200"/>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）投标人按照招标文件规定的金额、形式、时效和内容提供了投标保证金：</w:t>
            </w:r>
          </w:p>
          <w:p>
            <w:pPr>
              <w:spacing w:line="276" w:lineRule="auto"/>
              <w:ind w:firstLine="420" w:firstLineChars="200"/>
              <w:jc w:val="left"/>
              <w:rPr>
                <w:rFonts w:ascii="宋体" w:hAnsi="宋体"/>
                <w:szCs w:val="21"/>
              </w:rPr>
            </w:pPr>
            <w:r>
              <w:rPr>
                <w:rFonts w:hint="eastAsia" w:ascii="宋体" w:hAnsi="宋体"/>
                <w:szCs w:val="21"/>
              </w:rPr>
              <w:t>a.投标保证金金额符合招标文件规定的金额，且投标保证金有效期不少于投标有效期；</w:t>
            </w:r>
          </w:p>
          <w:p>
            <w:pPr>
              <w:spacing w:line="276" w:lineRule="auto"/>
              <w:ind w:firstLine="420" w:firstLineChars="200"/>
              <w:jc w:val="left"/>
              <w:rPr>
                <w:rFonts w:ascii="宋体" w:hAnsi="宋体"/>
                <w:szCs w:val="21"/>
              </w:rPr>
            </w:pPr>
            <w:r>
              <w:rPr>
                <w:rFonts w:hint="eastAsia" w:ascii="宋体" w:hAnsi="宋体"/>
                <w:szCs w:val="21"/>
              </w:rPr>
              <w:t>b.若投标保证金采用电汇或转账形式提交，投标人应在递交投标文件截止时间之前，将投标保证金由投标人的基本账户转入招标人指定账户；</w:t>
            </w:r>
          </w:p>
          <w:p>
            <w:pPr>
              <w:spacing w:line="276" w:lineRule="auto"/>
              <w:ind w:firstLine="420" w:firstLineChars="200"/>
              <w:jc w:val="left"/>
              <w:rPr>
                <w:rFonts w:ascii="宋体" w:hAnsi="宋体"/>
                <w:szCs w:val="21"/>
              </w:rPr>
            </w:pPr>
            <w:r>
              <w:rPr>
                <w:rFonts w:hint="eastAsia" w:ascii="宋体" w:hAnsi="宋体"/>
                <w:szCs w:val="21"/>
              </w:rPr>
              <w:t>c.若投标保证金采用保函形式提交，开具的保函满足招标文件要求；</w:t>
            </w:r>
          </w:p>
          <w:p>
            <w:pPr>
              <w:spacing w:line="276" w:lineRule="auto"/>
              <w:ind w:firstLine="420" w:firstLineChars="200"/>
              <w:jc w:val="left"/>
              <w:rPr>
                <w:rFonts w:hint="eastAsia" w:ascii="宋体" w:hAnsi="宋体"/>
                <w:szCs w:val="21"/>
              </w:rPr>
            </w:pPr>
            <w:r>
              <w:rPr>
                <w:rFonts w:hint="eastAsia" w:ascii="宋体" w:hAnsi="宋体"/>
                <w:szCs w:val="21"/>
              </w:rPr>
              <w:t>d</w:t>
            </w:r>
            <w:r>
              <w:rPr>
                <w:rFonts w:ascii="宋体" w:hAnsi="宋体"/>
                <w:szCs w:val="21"/>
              </w:rPr>
              <w:t>.</w:t>
            </w:r>
            <w:r>
              <w:rPr>
                <w:rFonts w:hint="eastAsia" w:ascii="宋体" w:hAnsi="宋体"/>
                <w:szCs w:val="21"/>
              </w:rPr>
              <w:t>若投标保证金采用保证保险形式提交，开具的保证保险满足招标文件要求。</w:t>
            </w:r>
          </w:p>
          <w:p>
            <w:pPr>
              <w:pStyle w:val="2"/>
              <w:ind w:firstLine="420" w:firstLineChars="200"/>
              <w:rPr>
                <w:sz w:val="21"/>
                <w:szCs w:val="21"/>
              </w:rPr>
            </w:pPr>
            <w:r>
              <w:rPr>
                <w:rFonts w:hint="eastAsia"/>
                <w:sz w:val="21"/>
                <w:szCs w:val="21"/>
              </w:rPr>
              <w:t>（</w:t>
            </w:r>
            <w:r>
              <w:rPr>
                <w:sz w:val="21"/>
                <w:szCs w:val="21"/>
              </w:rPr>
              <w:t>4</w:t>
            </w:r>
            <w:r>
              <w:rPr>
                <w:rFonts w:hint="eastAsia"/>
                <w:sz w:val="21"/>
                <w:szCs w:val="21"/>
              </w:rPr>
              <w:t>） 投标人法定代表人的授权委托代理人签署投标文件的，需提交授权委托书，且符合招标文件规定。</w:t>
            </w:r>
          </w:p>
          <w:p>
            <w:pPr>
              <w:spacing w:line="300" w:lineRule="exact"/>
              <w:ind w:firstLine="420" w:firstLineChars="200"/>
              <w:jc w:val="left"/>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 投标人法定代表人亲自签署投标文件的，需提交法定代表人身份证明，且符合招标文件规定。</w:t>
            </w:r>
          </w:p>
          <w:p>
            <w:pPr>
              <w:ind w:firstLine="420" w:firstLineChars="200"/>
              <w:rPr>
                <w:rFonts w:hint="eastAsia" w:ascii="宋体" w:hAnsi="宋体"/>
                <w:szCs w:val="21"/>
              </w:rPr>
            </w:pPr>
            <w:r>
              <w:rPr>
                <w:rFonts w:hint="eastAsia" w:ascii="宋体" w:hAnsi="宋体"/>
                <w:szCs w:val="21"/>
              </w:rPr>
              <w:t>（</w:t>
            </w:r>
            <w:r>
              <w:rPr>
                <w:rFonts w:ascii="宋体" w:hAnsi="宋体"/>
                <w:szCs w:val="21"/>
              </w:rPr>
              <w:t>6</w:t>
            </w:r>
            <w:r>
              <w:rPr>
                <w:rFonts w:hint="eastAsia" w:ascii="宋体" w:hAnsi="宋体"/>
                <w:szCs w:val="21"/>
              </w:rPr>
              <w:t>）投标人未以联合体形式投标。</w:t>
            </w:r>
          </w:p>
          <w:p>
            <w:pPr>
              <w:spacing w:line="288" w:lineRule="auto"/>
              <w:ind w:right="113" w:firstLine="420" w:firstLineChars="200"/>
              <w:jc w:val="left"/>
              <w:rPr>
                <w:rFonts w:hint="eastAsia" w:ascii="宋体" w:hAnsi="宋体"/>
                <w:szCs w:val="21"/>
              </w:rPr>
            </w:pPr>
            <w:r>
              <w:rPr>
                <w:rFonts w:hint="eastAsia" w:ascii="宋体" w:hAnsi="宋体"/>
                <w:szCs w:val="21"/>
              </w:rPr>
              <w:t>（</w:t>
            </w:r>
            <w:r>
              <w:rPr>
                <w:rFonts w:ascii="宋体" w:hAnsi="宋体"/>
                <w:szCs w:val="21"/>
              </w:rPr>
              <w:t>7</w:t>
            </w:r>
            <w:r>
              <w:rPr>
                <w:rFonts w:hint="eastAsia" w:ascii="宋体" w:hAnsi="宋体"/>
                <w:szCs w:val="21"/>
              </w:rPr>
              <w:t>）投标人的分包计划，符合招标文件第二章“投标人须知”第1.11款规定，且按招标文件第九章“投标文件格式”的要求填写了“拟分包项目情况表”。</w:t>
            </w:r>
          </w:p>
          <w:p>
            <w:pPr>
              <w:ind w:firstLine="420" w:firstLineChars="200"/>
              <w:rPr>
                <w:rFonts w:hint="eastAsia" w:ascii="宋体" w:hAnsi="宋体"/>
                <w:szCs w:val="21"/>
              </w:rPr>
            </w:pPr>
            <w:r>
              <w:rPr>
                <w:rFonts w:hint="eastAsia" w:ascii="宋体" w:hAnsi="宋体"/>
                <w:szCs w:val="21"/>
              </w:rPr>
              <w:t>（</w:t>
            </w:r>
            <w:r>
              <w:rPr>
                <w:rFonts w:ascii="宋体" w:hAnsi="宋体"/>
                <w:szCs w:val="21"/>
              </w:rPr>
              <w:t>8</w:t>
            </w:r>
            <w:r>
              <w:rPr>
                <w:rFonts w:hint="eastAsia" w:ascii="宋体" w:hAnsi="宋体"/>
                <w:szCs w:val="21"/>
              </w:rPr>
              <w:t>）同一投标人未提交两个以上不同的投标文件。</w:t>
            </w:r>
          </w:p>
          <w:p>
            <w:pPr>
              <w:ind w:firstLine="420" w:firstLineChars="200"/>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）投标文件第一信封中未出现有关投标报价的内容。</w:t>
            </w:r>
          </w:p>
          <w:p>
            <w:pPr>
              <w:ind w:firstLine="420" w:firstLineChars="200"/>
              <w:rPr>
                <w:rFonts w:hint="eastAsia" w:ascii="宋体" w:hAnsi="宋体"/>
                <w:szCs w:val="21"/>
              </w:rPr>
            </w:pPr>
            <w:r>
              <w:rPr>
                <w:rFonts w:hint="eastAsia" w:ascii="宋体" w:hAnsi="宋体"/>
                <w:szCs w:val="21"/>
              </w:rPr>
              <w:t>（</w:t>
            </w:r>
            <w:r>
              <w:rPr>
                <w:rFonts w:ascii="宋体" w:hAnsi="宋体"/>
                <w:szCs w:val="21"/>
              </w:rPr>
              <w:t>10</w:t>
            </w:r>
            <w:r>
              <w:rPr>
                <w:rFonts w:hint="eastAsia" w:ascii="宋体" w:hAnsi="宋体"/>
                <w:szCs w:val="21"/>
              </w:rPr>
              <w:t>）投标文件载明的招标项目完成期限未超过招标文件规定的时限。</w:t>
            </w:r>
          </w:p>
          <w:p>
            <w:pPr>
              <w:ind w:firstLine="420" w:firstLineChars="200"/>
              <w:rPr>
                <w:rFonts w:hint="eastAsia" w:ascii="宋体" w:hAnsi="宋体"/>
                <w:szCs w:val="21"/>
              </w:rPr>
            </w:pPr>
            <w:r>
              <w:rPr>
                <w:rFonts w:hint="eastAsia" w:ascii="宋体" w:hAnsi="宋体"/>
                <w:szCs w:val="21"/>
              </w:rPr>
              <w:t>（</w:t>
            </w:r>
            <w:r>
              <w:rPr>
                <w:rFonts w:ascii="宋体" w:hAnsi="宋体"/>
                <w:szCs w:val="21"/>
              </w:rPr>
              <w:t>11</w:t>
            </w:r>
            <w:r>
              <w:rPr>
                <w:rFonts w:hint="eastAsia" w:ascii="宋体" w:hAnsi="宋体"/>
                <w:szCs w:val="21"/>
              </w:rPr>
              <w:t>）投标文件对招标文件的实质性要求和条件作出响应。</w:t>
            </w:r>
          </w:p>
          <w:p>
            <w:pPr>
              <w:ind w:firstLine="420" w:firstLineChars="200"/>
              <w:rPr>
                <w:rFonts w:hint="eastAsia" w:ascii="宋体" w:hAnsi="宋体"/>
                <w:szCs w:val="21"/>
              </w:rPr>
            </w:pPr>
            <w:r>
              <w:rPr>
                <w:rFonts w:hint="eastAsia" w:ascii="宋体" w:hAnsi="宋体"/>
                <w:szCs w:val="21"/>
              </w:rPr>
              <w:t>（</w:t>
            </w:r>
            <w:r>
              <w:rPr>
                <w:rFonts w:ascii="宋体" w:hAnsi="宋体"/>
                <w:szCs w:val="21"/>
              </w:rPr>
              <w:t>12</w:t>
            </w:r>
            <w:r>
              <w:rPr>
                <w:rFonts w:hint="eastAsia" w:ascii="宋体" w:hAnsi="宋体"/>
                <w:szCs w:val="21"/>
              </w:rPr>
              <w:t>）权利义务符合招标文件规定：</w:t>
            </w:r>
          </w:p>
          <w:p>
            <w:pPr>
              <w:ind w:firstLine="420" w:firstLineChars="200"/>
              <w:rPr>
                <w:rFonts w:hint="eastAsia" w:ascii="宋体" w:hAnsi="宋体"/>
                <w:szCs w:val="21"/>
              </w:rPr>
            </w:pPr>
            <w:r>
              <w:rPr>
                <w:rFonts w:hint="eastAsia" w:ascii="宋体" w:hAnsi="宋体"/>
                <w:szCs w:val="21"/>
              </w:rPr>
              <w:t>a．投标人应接受招标文件规定的风险划分原则，未提出新的风险划分办法；</w:t>
            </w:r>
          </w:p>
          <w:p>
            <w:pPr>
              <w:ind w:firstLine="420" w:firstLineChars="200"/>
              <w:rPr>
                <w:rFonts w:hint="eastAsia" w:ascii="宋体" w:hAnsi="宋体"/>
                <w:szCs w:val="21"/>
              </w:rPr>
            </w:pPr>
            <w:r>
              <w:rPr>
                <w:rFonts w:hint="eastAsia" w:ascii="宋体" w:hAnsi="宋体"/>
                <w:szCs w:val="21"/>
              </w:rPr>
              <w:t>b．投标人未增加发包人的责任范围，或减少投标人义务；</w:t>
            </w:r>
          </w:p>
          <w:p>
            <w:pPr>
              <w:ind w:firstLine="420" w:firstLineChars="200"/>
              <w:rPr>
                <w:rFonts w:hint="eastAsia" w:ascii="宋体" w:hAnsi="宋体"/>
                <w:szCs w:val="21"/>
              </w:rPr>
            </w:pPr>
            <w:r>
              <w:rPr>
                <w:rFonts w:hint="eastAsia" w:ascii="宋体" w:hAnsi="宋体"/>
                <w:szCs w:val="21"/>
              </w:rPr>
              <w:t>c．投标人未提出不同的工程验收、计量、支付办法；</w:t>
            </w:r>
          </w:p>
          <w:p>
            <w:pPr>
              <w:ind w:firstLine="420" w:firstLineChars="200"/>
              <w:rPr>
                <w:rFonts w:hint="eastAsia" w:ascii="宋体" w:hAnsi="宋体"/>
                <w:szCs w:val="21"/>
              </w:rPr>
            </w:pPr>
            <w:r>
              <w:rPr>
                <w:rFonts w:hint="eastAsia" w:ascii="宋体" w:hAnsi="宋体"/>
                <w:szCs w:val="21"/>
              </w:rPr>
              <w:t>d．投标人对合同纠纷、事故处理办法未提出异议；</w:t>
            </w:r>
          </w:p>
          <w:p>
            <w:pPr>
              <w:ind w:firstLine="420" w:firstLineChars="200"/>
              <w:rPr>
                <w:rFonts w:hint="eastAsia" w:ascii="宋体" w:hAnsi="宋体"/>
                <w:szCs w:val="21"/>
              </w:rPr>
            </w:pPr>
            <w:r>
              <w:rPr>
                <w:rFonts w:hint="eastAsia" w:ascii="宋体" w:hAnsi="宋体"/>
                <w:szCs w:val="21"/>
              </w:rPr>
              <w:t>e．投标人在投标活动中无欺诈行为；</w:t>
            </w:r>
          </w:p>
          <w:p>
            <w:pPr>
              <w:ind w:firstLine="420" w:firstLineChars="200"/>
              <w:rPr>
                <w:rFonts w:ascii="宋体" w:hAnsi="宋体"/>
                <w:szCs w:val="21"/>
              </w:rPr>
            </w:pPr>
            <w:r>
              <w:rPr>
                <w:rFonts w:hint="eastAsia" w:ascii="宋体" w:hAnsi="宋体"/>
                <w:szCs w:val="21"/>
              </w:rPr>
              <w:t>f．投标人未对合同条款有重要保留。</w:t>
            </w:r>
          </w:p>
          <w:p>
            <w:pPr>
              <w:ind w:firstLine="420" w:firstLineChars="200"/>
              <w:rPr>
                <w:rFonts w:hint="eastAsia" w:ascii="宋体" w:hAnsi="宋体"/>
                <w:szCs w:val="21"/>
              </w:rPr>
            </w:pPr>
            <w:r>
              <w:rPr>
                <w:rFonts w:ascii="宋体" w:hAnsi="宋体"/>
                <w:szCs w:val="21"/>
              </w:rPr>
              <w:t>（13）</w:t>
            </w:r>
            <w:r>
              <w:rPr>
                <w:rFonts w:hint="eastAsia" w:ascii="宋体" w:hAnsi="宋体"/>
                <w:szCs w:val="21"/>
              </w:rPr>
              <w:t xml:space="preserve"> 投标人名称与营业执照、资质证书、安全生产许可证一致，如企业名称有变更的，应提供其变更记录或相关部门的合法批件复印件。</w:t>
            </w:r>
          </w:p>
          <w:p>
            <w:pPr>
              <w:rPr>
                <w:rFonts w:hint="eastAsia" w:ascii="宋体" w:hAnsi="宋体"/>
                <w:szCs w:val="21"/>
              </w:rPr>
            </w:pPr>
            <w:r>
              <w:rPr>
                <w:rFonts w:hint="eastAsia" w:ascii="宋体" w:hAnsi="宋体"/>
                <w:b/>
                <w:bCs/>
                <w:spacing w:val="-4"/>
                <w:szCs w:val="21"/>
              </w:rPr>
              <w:t>第二信封（报价文件）评审标准：</w:t>
            </w:r>
          </w:p>
          <w:p>
            <w:pPr>
              <w:ind w:firstLine="420" w:firstLineChars="200"/>
              <w:rPr>
                <w:rFonts w:hint="eastAsia" w:ascii="宋体" w:hAnsi="宋体"/>
                <w:szCs w:val="21"/>
              </w:rPr>
            </w:pPr>
            <w:r>
              <w:rPr>
                <w:rFonts w:hint="eastAsia" w:ascii="宋体" w:hAnsi="宋体"/>
                <w:szCs w:val="21"/>
              </w:rPr>
              <w:t>（1）投标文件按照招标文件规定的格式、内容填写，字迹清晰可辨：</w:t>
            </w:r>
          </w:p>
          <w:p>
            <w:pPr>
              <w:ind w:firstLine="420" w:firstLineChars="200"/>
              <w:rPr>
                <w:rFonts w:hint="eastAsia" w:ascii="宋体" w:hAnsi="宋体"/>
                <w:szCs w:val="21"/>
              </w:rPr>
            </w:pPr>
            <w:r>
              <w:rPr>
                <w:rFonts w:hint="eastAsia" w:ascii="宋体" w:hAnsi="宋体"/>
                <w:szCs w:val="21"/>
              </w:rPr>
              <w:t>a.投标函按招标文件规定填报了项目名称、补遗书编号（如有）、投标价（包括大写金额和小写金额）；</w:t>
            </w:r>
          </w:p>
          <w:p>
            <w:pPr>
              <w:ind w:firstLine="420" w:firstLineChars="200"/>
              <w:rPr>
                <w:rFonts w:hint="eastAsia" w:ascii="宋体" w:hAnsi="宋体"/>
                <w:szCs w:val="21"/>
              </w:rPr>
            </w:pPr>
            <w:r>
              <w:rPr>
                <w:rFonts w:hint="eastAsia" w:ascii="宋体" w:hAnsi="宋体"/>
                <w:szCs w:val="21"/>
              </w:rPr>
              <w:t>b．已标价工程量清单说明文字与招标文件规定一致，未进行实质性修改和删减；</w:t>
            </w:r>
          </w:p>
          <w:p>
            <w:pPr>
              <w:ind w:firstLine="420" w:firstLineChars="200"/>
              <w:rPr>
                <w:rFonts w:hint="eastAsia" w:ascii="宋体" w:hAnsi="宋体"/>
                <w:szCs w:val="21"/>
              </w:rPr>
            </w:pPr>
            <w:r>
              <w:rPr>
                <w:rFonts w:hint="eastAsia" w:ascii="宋体" w:hAnsi="宋体"/>
                <w:szCs w:val="21"/>
              </w:rPr>
              <w:t>c．投标文件组成齐全完整，内容均按规定填写。</w:t>
            </w:r>
          </w:p>
          <w:p>
            <w:pPr>
              <w:ind w:firstLine="420" w:firstLineChars="200"/>
              <w:rPr>
                <w:rFonts w:hint="eastAsia" w:ascii="宋体" w:hAnsi="宋体"/>
                <w:szCs w:val="21"/>
              </w:rPr>
            </w:pPr>
            <w:r>
              <w:rPr>
                <w:rFonts w:hint="eastAsia" w:ascii="宋体" w:hAnsi="宋体"/>
                <w:szCs w:val="21"/>
              </w:rPr>
              <w:t>（2）投标文件上法定代表人或其委托代理人的签字、投标人的单位章盖章齐全，符合招标文件规定。</w:t>
            </w:r>
          </w:p>
          <w:p>
            <w:pPr>
              <w:ind w:firstLine="420" w:firstLineChars="200"/>
              <w:rPr>
                <w:rFonts w:hint="eastAsia" w:ascii="宋体" w:hAnsi="宋体"/>
                <w:szCs w:val="21"/>
              </w:rPr>
            </w:pPr>
            <w:r>
              <w:rPr>
                <w:rFonts w:hint="eastAsia" w:ascii="宋体" w:hAnsi="宋体"/>
                <w:szCs w:val="21"/>
              </w:rPr>
              <w:t>（3）投标报价未超过招标文件设定的最高投标限价。</w:t>
            </w:r>
          </w:p>
          <w:p>
            <w:pPr>
              <w:ind w:firstLine="420" w:firstLineChars="200"/>
              <w:rPr>
                <w:rFonts w:hint="eastAsia" w:ascii="宋体" w:hAnsi="宋体"/>
                <w:szCs w:val="21"/>
              </w:rPr>
            </w:pPr>
            <w:r>
              <w:rPr>
                <w:rFonts w:hint="eastAsia" w:ascii="宋体" w:hAnsi="宋体"/>
                <w:szCs w:val="21"/>
              </w:rPr>
              <w:t>（4）投标报价的大写金额能够确定具体数值。</w:t>
            </w:r>
          </w:p>
          <w:p>
            <w:pPr>
              <w:ind w:firstLine="420" w:firstLineChars="200"/>
              <w:rPr>
                <w:rFonts w:hint="eastAsia" w:ascii="宋体" w:hAnsi="宋体"/>
                <w:szCs w:val="21"/>
              </w:rPr>
            </w:pPr>
            <w:r>
              <w:rPr>
                <w:rFonts w:hint="eastAsia" w:ascii="宋体" w:hAnsi="宋体"/>
                <w:szCs w:val="21"/>
              </w:rPr>
              <w:t>（5）同一投标人未提交两个以上不同的投标报价。</w:t>
            </w:r>
          </w:p>
          <w:p>
            <w:pPr>
              <w:ind w:firstLine="420" w:firstLineChars="200"/>
              <w:rPr>
                <w:rFonts w:hint="eastAsia" w:ascii="宋体" w:hAnsi="宋体"/>
                <w:szCs w:val="21"/>
              </w:rPr>
            </w:pPr>
            <w:r>
              <w:rPr>
                <w:rFonts w:hint="eastAsia" w:ascii="宋体" w:hAnsi="宋体"/>
                <w:szCs w:val="21"/>
              </w:rPr>
              <w:t>（6）投标人未提交调价函。</w:t>
            </w:r>
          </w:p>
          <w:p>
            <w:pPr>
              <w:ind w:firstLine="420" w:firstLineChars="200"/>
              <w:rPr>
                <w:rFonts w:hint="eastAsia" w:ascii="宋体" w:hAnsi="宋体"/>
                <w:szCs w:val="21"/>
              </w:rPr>
            </w:pPr>
            <w:r>
              <w:rPr>
                <w:rFonts w:hint="eastAsia" w:ascii="宋体" w:hAnsi="宋体"/>
                <w:szCs w:val="21"/>
              </w:rPr>
              <w:t>（7）投标人填写完毕的工程量清单未对工程量固化清单电子文件中的给定的数据、格式和运算定义进行修改；工程量固化清单中的投标报价和投标函大写金额报价一致。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44" w:hRule="atLeast"/>
          <w:jc w:val="center"/>
        </w:trPr>
        <w:tc>
          <w:tcPr>
            <w:tcW w:w="1146" w:type="dxa"/>
            <w:noWrap w:val="0"/>
            <w:vAlign w:val="center"/>
          </w:tcPr>
          <w:p>
            <w:pPr>
              <w:adjustRightInd w:val="0"/>
              <w:snapToGrid w:val="0"/>
              <w:jc w:val="center"/>
              <w:rPr>
                <w:rFonts w:hint="eastAsia" w:ascii="宋体" w:hAnsi="宋体"/>
                <w:szCs w:val="21"/>
              </w:rPr>
            </w:pPr>
            <w:r>
              <w:rPr>
                <w:rFonts w:hint="eastAsia" w:ascii="宋体" w:hAnsi="宋体"/>
                <w:szCs w:val="21"/>
              </w:rPr>
              <w:t>2</w:t>
            </w:r>
            <w:r>
              <w:rPr>
                <w:rFonts w:ascii="宋体" w:hAnsi="宋体"/>
                <w:szCs w:val="21"/>
              </w:rPr>
              <w:t>.1.2</w:t>
            </w:r>
          </w:p>
        </w:tc>
        <w:tc>
          <w:tcPr>
            <w:tcW w:w="1322" w:type="dxa"/>
            <w:noWrap w:val="0"/>
            <w:vAlign w:val="center"/>
          </w:tcPr>
          <w:p>
            <w:pPr>
              <w:adjustRightInd w:val="0"/>
              <w:snapToGrid w:val="0"/>
              <w:jc w:val="center"/>
              <w:rPr>
                <w:rFonts w:hint="eastAsia" w:ascii="宋体" w:hAnsi="宋体"/>
                <w:szCs w:val="21"/>
              </w:rPr>
            </w:pPr>
            <w:r>
              <w:rPr>
                <w:rFonts w:hint="eastAsia" w:ascii="宋体" w:hAnsi="宋体"/>
                <w:szCs w:val="21"/>
              </w:rPr>
              <w:t>资格评审标准</w:t>
            </w:r>
          </w:p>
        </w:tc>
        <w:tc>
          <w:tcPr>
            <w:tcW w:w="7222" w:type="dxa"/>
            <w:noWrap w:val="0"/>
            <w:vAlign w:val="center"/>
          </w:tcPr>
          <w:p>
            <w:pPr>
              <w:ind w:firstLine="420" w:firstLineChars="200"/>
              <w:rPr>
                <w:rFonts w:hint="eastAsia" w:ascii="宋体" w:hAnsi="宋体"/>
                <w:szCs w:val="21"/>
              </w:rPr>
            </w:pPr>
            <w:r>
              <w:rPr>
                <w:rFonts w:hint="eastAsia" w:ascii="宋体" w:hAnsi="宋体"/>
                <w:szCs w:val="21"/>
              </w:rPr>
              <w:t>（1）</w:t>
            </w:r>
            <w:r>
              <w:rPr>
                <w:rFonts w:hint="eastAsia" w:ascii="宋体" w:hAnsi="宋体" w:cs="宋体"/>
                <w:szCs w:val="21"/>
              </w:rPr>
              <w:t>投标人具备有效的营业执照、资质证书、安全生产许可证和基本账户开户许可证（或基本存款账户信息）；</w:t>
            </w:r>
          </w:p>
          <w:p>
            <w:pPr>
              <w:ind w:firstLine="420" w:firstLineChars="200"/>
              <w:rPr>
                <w:rFonts w:hint="eastAsia" w:ascii="宋体" w:hAnsi="宋体"/>
                <w:szCs w:val="21"/>
              </w:rPr>
            </w:pPr>
            <w:r>
              <w:rPr>
                <w:rFonts w:hint="eastAsia" w:ascii="宋体" w:hAnsi="宋体"/>
                <w:szCs w:val="21"/>
              </w:rPr>
              <w:t>（2）投标人的资质等级符合招标文件规定；</w:t>
            </w:r>
          </w:p>
          <w:p>
            <w:pPr>
              <w:ind w:firstLine="420" w:firstLineChars="200"/>
              <w:rPr>
                <w:rFonts w:hint="eastAsia" w:ascii="宋体" w:hAnsi="宋体"/>
                <w:szCs w:val="21"/>
              </w:rPr>
            </w:pPr>
            <w:r>
              <w:rPr>
                <w:rFonts w:hint="eastAsia" w:ascii="宋体" w:hAnsi="宋体"/>
                <w:szCs w:val="21"/>
              </w:rPr>
              <w:t>（3）投标人的财务状况符合招标文件规定；</w:t>
            </w:r>
          </w:p>
          <w:p>
            <w:pPr>
              <w:ind w:firstLine="420" w:firstLineChars="200"/>
              <w:rPr>
                <w:rFonts w:hint="eastAsia" w:ascii="宋体" w:hAnsi="宋体"/>
                <w:szCs w:val="21"/>
              </w:rPr>
            </w:pPr>
            <w:r>
              <w:rPr>
                <w:rFonts w:hint="eastAsia" w:ascii="宋体" w:hAnsi="宋体"/>
                <w:szCs w:val="21"/>
              </w:rPr>
              <w:t>（4）投标人的类似项目业绩符合招标文件规定；</w:t>
            </w:r>
          </w:p>
          <w:p>
            <w:pPr>
              <w:ind w:firstLine="420" w:firstLineChars="200"/>
              <w:rPr>
                <w:rFonts w:hint="eastAsia" w:ascii="宋体" w:hAnsi="宋体"/>
                <w:szCs w:val="21"/>
              </w:rPr>
            </w:pPr>
            <w:r>
              <w:rPr>
                <w:rFonts w:hint="eastAsia" w:ascii="宋体" w:hAnsi="宋体"/>
                <w:szCs w:val="21"/>
              </w:rPr>
              <w:t>（5）投标人的信誉符合招标文件规定；</w:t>
            </w:r>
          </w:p>
          <w:p>
            <w:pPr>
              <w:ind w:firstLine="420" w:firstLineChars="200"/>
              <w:rPr>
                <w:rFonts w:hint="eastAsia" w:ascii="宋体" w:hAnsi="宋体"/>
                <w:szCs w:val="21"/>
              </w:rPr>
            </w:pPr>
            <w:r>
              <w:rPr>
                <w:rFonts w:hint="eastAsia" w:ascii="宋体" w:hAnsi="宋体"/>
                <w:szCs w:val="21"/>
              </w:rPr>
              <w:t>（6）投标人的项目经理资格符合招标文件规定；</w:t>
            </w:r>
          </w:p>
          <w:p>
            <w:pPr>
              <w:ind w:firstLine="420" w:firstLineChars="200"/>
              <w:rPr>
                <w:rFonts w:hint="eastAsia" w:ascii="宋体" w:hAnsi="宋体"/>
                <w:szCs w:val="21"/>
              </w:rPr>
            </w:pPr>
            <w:r>
              <w:rPr>
                <w:rFonts w:hint="eastAsia" w:ascii="宋体" w:hAnsi="宋体"/>
                <w:szCs w:val="21"/>
              </w:rPr>
              <w:t>（7）投标人不存在第二章“投标人须知”第1.4.3项或第1.4.4项规定的任何一种情形。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6" w:type="dxa"/>
            <w:noWrap w:val="0"/>
            <w:vAlign w:val="center"/>
          </w:tcPr>
          <w:p>
            <w:pPr>
              <w:adjustRightInd w:val="0"/>
              <w:snapToGrid w:val="0"/>
              <w:spacing w:line="300" w:lineRule="exact"/>
              <w:jc w:val="center"/>
              <w:rPr>
                <w:rFonts w:hint="eastAsia" w:ascii="宋体" w:hAnsi="宋体"/>
                <w:b/>
                <w:szCs w:val="21"/>
              </w:rPr>
            </w:pPr>
            <w:r>
              <w:rPr>
                <w:rFonts w:hint="eastAsia" w:ascii="宋体" w:hAnsi="宋体"/>
                <w:b/>
                <w:szCs w:val="21"/>
              </w:rPr>
              <w:t>条款号</w:t>
            </w:r>
          </w:p>
        </w:tc>
        <w:tc>
          <w:tcPr>
            <w:tcW w:w="1322" w:type="dxa"/>
            <w:noWrap w:val="0"/>
            <w:vAlign w:val="center"/>
          </w:tcPr>
          <w:p>
            <w:pPr>
              <w:adjustRightInd w:val="0"/>
              <w:snapToGrid w:val="0"/>
              <w:spacing w:line="300" w:lineRule="exact"/>
              <w:jc w:val="center"/>
              <w:rPr>
                <w:rFonts w:hint="eastAsia" w:ascii="宋体" w:hAnsi="宋体"/>
                <w:b/>
                <w:szCs w:val="21"/>
              </w:rPr>
            </w:pPr>
            <w:r>
              <w:rPr>
                <w:rFonts w:hint="eastAsia" w:ascii="宋体" w:hAnsi="宋体"/>
                <w:b/>
                <w:szCs w:val="21"/>
              </w:rPr>
              <w:t>条款内容</w:t>
            </w:r>
          </w:p>
        </w:tc>
        <w:tc>
          <w:tcPr>
            <w:tcW w:w="7222" w:type="dxa"/>
            <w:noWrap w:val="0"/>
            <w:vAlign w:val="center"/>
          </w:tcPr>
          <w:p>
            <w:pPr>
              <w:adjustRightInd w:val="0"/>
              <w:snapToGrid w:val="0"/>
              <w:spacing w:line="300" w:lineRule="exact"/>
              <w:jc w:val="center"/>
              <w:rPr>
                <w:rFonts w:hint="eastAsia" w:ascii="宋体" w:hAnsi="宋体"/>
                <w:b/>
                <w:szCs w:val="21"/>
              </w:rPr>
            </w:pPr>
            <w:r>
              <w:rPr>
                <w:rFonts w:hint="eastAsia" w:ascii="宋体" w:hAnsi="宋体"/>
                <w:b/>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6" w:type="dxa"/>
            <w:noWrap w:val="0"/>
            <w:vAlign w:val="center"/>
          </w:tcPr>
          <w:p>
            <w:pPr>
              <w:adjustRightInd w:val="0"/>
              <w:snapToGrid w:val="0"/>
              <w:jc w:val="center"/>
              <w:rPr>
                <w:rFonts w:hint="eastAsia" w:ascii="宋体" w:hAnsi="宋体"/>
              </w:rPr>
            </w:pPr>
            <w:r>
              <w:rPr>
                <w:rFonts w:hint="eastAsia" w:ascii="宋体" w:hAnsi="宋体"/>
              </w:rPr>
              <w:t>2.2.1</w:t>
            </w:r>
          </w:p>
        </w:tc>
        <w:tc>
          <w:tcPr>
            <w:tcW w:w="1322" w:type="dxa"/>
            <w:noWrap w:val="0"/>
            <w:vAlign w:val="center"/>
          </w:tcPr>
          <w:p>
            <w:pPr>
              <w:ind w:right="113"/>
              <w:jc w:val="center"/>
              <w:rPr>
                <w:rFonts w:ascii="宋体" w:hAnsi="宋体"/>
                <w:szCs w:val="21"/>
              </w:rPr>
            </w:pPr>
            <w:r>
              <w:rPr>
                <w:rFonts w:hint="eastAsia" w:ascii="宋体" w:hAnsi="宋体"/>
                <w:szCs w:val="21"/>
              </w:rPr>
              <w:t>分值构成</w:t>
            </w:r>
          </w:p>
          <w:p>
            <w:pPr>
              <w:adjustRightInd w:val="0"/>
              <w:snapToGrid w:val="0"/>
              <w:jc w:val="center"/>
              <w:rPr>
                <w:rFonts w:hint="eastAsia" w:ascii="宋体" w:hAnsi="宋体"/>
              </w:rPr>
            </w:pPr>
            <w:r>
              <w:rPr>
                <w:rFonts w:hint="eastAsia" w:ascii="宋体" w:hAnsi="宋体"/>
                <w:szCs w:val="21"/>
              </w:rPr>
              <w:t>（总分100分）</w:t>
            </w:r>
          </w:p>
        </w:tc>
        <w:tc>
          <w:tcPr>
            <w:tcW w:w="7222" w:type="dxa"/>
            <w:noWrap w:val="0"/>
            <w:vAlign w:val="center"/>
          </w:tcPr>
          <w:p>
            <w:pPr>
              <w:adjustRightInd w:val="0"/>
              <w:snapToGrid w:val="0"/>
              <w:rPr>
                <w:rFonts w:hint="eastAsia" w:ascii="宋体" w:hAnsi="宋体"/>
              </w:rPr>
            </w:pPr>
            <w:r>
              <w:rPr>
                <w:rFonts w:hint="eastAsia" w:ascii="宋体" w:hAnsi="宋体"/>
                <w:color w:val="000000"/>
                <w:szCs w:val="21"/>
              </w:rPr>
              <w:t>评标价：100分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6" w:type="dxa"/>
            <w:noWrap w:val="0"/>
            <w:vAlign w:val="center"/>
          </w:tcPr>
          <w:p>
            <w:pPr>
              <w:adjustRightInd w:val="0"/>
              <w:snapToGrid w:val="0"/>
              <w:jc w:val="center"/>
              <w:rPr>
                <w:rFonts w:hint="eastAsia" w:ascii="宋体" w:hAnsi="宋体"/>
              </w:rPr>
            </w:pPr>
            <w:r>
              <w:rPr>
                <w:rFonts w:hint="eastAsia" w:ascii="宋体" w:hAnsi="宋体"/>
              </w:rPr>
              <w:t>2.2.2</w:t>
            </w:r>
          </w:p>
        </w:tc>
        <w:tc>
          <w:tcPr>
            <w:tcW w:w="1322" w:type="dxa"/>
            <w:noWrap w:val="0"/>
            <w:vAlign w:val="center"/>
          </w:tcPr>
          <w:p>
            <w:pPr>
              <w:ind w:right="113"/>
              <w:jc w:val="center"/>
              <w:rPr>
                <w:rFonts w:hint="eastAsia" w:ascii="宋体" w:hAnsi="宋体"/>
                <w:szCs w:val="21"/>
              </w:rPr>
            </w:pPr>
            <w:r>
              <w:rPr>
                <w:rFonts w:hint="eastAsia" w:ascii="宋体" w:hAnsi="宋体"/>
              </w:rPr>
              <w:t>评标</w:t>
            </w:r>
            <w:r>
              <w:rPr>
                <w:rFonts w:ascii="宋体" w:hAnsi="宋体"/>
              </w:rPr>
              <w:t>基准价计算方法</w:t>
            </w:r>
          </w:p>
        </w:tc>
        <w:tc>
          <w:tcPr>
            <w:tcW w:w="7222" w:type="dxa"/>
            <w:noWrap w:val="0"/>
            <w:vAlign w:val="center"/>
          </w:tcPr>
          <w:p>
            <w:pPr>
              <w:adjustRightInd w:val="0"/>
              <w:snapToGrid w:val="0"/>
              <w:spacing w:line="340" w:lineRule="exact"/>
              <w:rPr>
                <w:rFonts w:ascii="宋体" w:hAnsi="宋体"/>
                <w:szCs w:val="21"/>
              </w:rPr>
            </w:pPr>
            <w:r>
              <w:rPr>
                <w:rFonts w:hint="eastAsia" w:ascii="宋体" w:hAnsi="宋体"/>
                <w:szCs w:val="21"/>
              </w:rPr>
              <w:t>评标基准价的计算：</w:t>
            </w:r>
          </w:p>
          <w:p>
            <w:pPr>
              <w:spacing w:line="340" w:lineRule="exact"/>
              <w:ind w:firstLine="420" w:firstLineChars="200"/>
              <w:rPr>
                <w:rFonts w:ascii="宋体" w:hAnsi="宋体"/>
                <w:szCs w:val="21"/>
              </w:rPr>
            </w:pPr>
            <w:r>
              <w:rPr>
                <w:rFonts w:hint="eastAsia" w:ascii="宋体" w:hAnsi="宋体"/>
                <w:szCs w:val="21"/>
              </w:rPr>
              <w:t>在第二个信封开标现场，招标人将当场计算并宣布评标基准价。</w:t>
            </w:r>
          </w:p>
          <w:p>
            <w:pPr>
              <w:spacing w:line="340" w:lineRule="exact"/>
              <w:ind w:firstLine="420" w:firstLineChars="200"/>
              <w:rPr>
                <w:rFonts w:ascii="宋体" w:hAnsi="宋体"/>
                <w:szCs w:val="21"/>
              </w:rPr>
            </w:pPr>
            <w:r>
              <w:rPr>
                <w:rFonts w:hint="eastAsia" w:ascii="宋体" w:hAnsi="宋体"/>
                <w:szCs w:val="21"/>
              </w:rPr>
              <w:t>(1)评标价的确定：</w:t>
            </w:r>
          </w:p>
          <w:p>
            <w:pPr>
              <w:spacing w:line="340" w:lineRule="exact"/>
              <w:ind w:firstLine="420" w:firstLineChars="200"/>
              <w:rPr>
                <w:rFonts w:hint="eastAsia" w:ascii="宋体" w:hAnsi="宋体"/>
                <w:szCs w:val="21"/>
              </w:rPr>
            </w:pPr>
            <w:r>
              <w:rPr>
                <w:rFonts w:hint="eastAsia" w:ascii="宋体" w:hAnsi="宋体"/>
                <w:szCs w:val="21"/>
              </w:rPr>
              <w:t>评标价=投标函文字报价</w:t>
            </w:r>
          </w:p>
          <w:p>
            <w:pPr>
              <w:spacing w:line="340" w:lineRule="exact"/>
              <w:ind w:firstLine="420" w:firstLineChars="200"/>
              <w:rPr>
                <w:rFonts w:hint="eastAsia" w:ascii="宋体" w:hAnsi="宋体"/>
                <w:spacing w:val="-4"/>
                <w:szCs w:val="21"/>
              </w:rPr>
            </w:pPr>
            <w:r>
              <w:rPr>
                <w:rFonts w:hint="eastAsia" w:ascii="宋体" w:hAnsi="宋体"/>
                <w:szCs w:val="21"/>
              </w:rPr>
              <w:t>(2)</w:t>
            </w:r>
            <w:r>
              <w:rPr>
                <w:rFonts w:hint="eastAsia" w:ascii="宋体" w:hAnsi="宋体"/>
                <w:spacing w:val="-4"/>
                <w:szCs w:val="21"/>
              </w:rPr>
              <w:t>评标价平均值的计算：</w:t>
            </w:r>
          </w:p>
          <w:p>
            <w:pPr>
              <w:spacing w:line="340" w:lineRule="exact"/>
              <w:ind w:firstLine="420" w:firstLineChars="200"/>
              <w:rPr>
                <w:rFonts w:hint="eastAsia" w:ascii="宋体" w:hAnsi="宋体"/>
                <w:szCs w:val="21"/>
              </w:rPr>
            </w:pPr>
            <w:r>
              <w:rPr>
                <w:rFonts w:hint="eastAsia" w:ascii="宋体" w:hAnsi="宋体"/>
                <w:szCs w:val="21"/>
              </w:rPr>
              <w:t>除按第二章“投标人须知”第5.2.</w:t>
            </w:r>
            <w:r>
              <w:rPr>
                <w:rFonts w:ascii="宋体" w:hAnsi="宋体"/>
                <w:szCs w:val="21"/>
              </w:rPr>
              <w:t>4</w:t>
            </w:r>
            <w:r>
              <w:rPr>
                <w:rFonts w:hint="eastAsia" w:ascii="宋体" w:hAnsi="宋体"/>
                <w:szCs w:val="21"/>
              </w:rPr>
              <w:t>项</w:t>
            </w:r>
            <w:r>
              <w:rPr>
                <w:rFonts w:hint="eastAsia" w:ascii="宋体" w:hAnsi="宋体"/>
                <w:spacing w:val="-4"/>
                <w:szCs w:val="21"/>
              </w:rPr>
              <w:t>规定开标现场被宣布为不进入评标基准价计算的投标报价之外的投标人评标价，所有投标人的评标价去掉n1个最高评标价和n2个最低评标价后的算术平均值即为评标价平均值，</w:t>
            </w:r>
            <w:r>
              <w:rPr>
                <w:rFonts w:hint="eastAsia" w:ascii="宋体" w:hAnsi="宋体"/>
                <w:szCs w:val="21"/>
              </w:rPr>
              <w:t>N为</w:t>
            </w:r>
            <w:r>
              <w:rPr>
                <w:rFonts w:hint="eastAsia" w:ascii="宋体" w:hAnsi="宋体"/>
                <w:spacing w:val="-4"/>
                <w:szCs w:val="21"/>
              </w:rPr>
              <w:t>参与评标价平均值计算的投标人数量：</w:t>
            </w:r>
          </w:p>
          <w:p>
            <w:pPr>
              <w:spacing w:line="340" w:lineRule="exact"/>
              <w:ind w:firstLine="420" w:firstLineChars="200"/>
              <w:rPr>
                <w:rFonts w:hint="eastAsia" w:ascii="宋体" w:hAnsi="宋体" w:cs="宋体"/>
                <w:szCs w:val="21"/>
              </w:rPr>
            </w:pPr>
            <w:r>
              <w:rPr>
                <w:rFonts w:hint="eastAsia" w:ascii="宋体" w:hAnsi="宋体"/>
                <w:szCs w:val="21"/>
              </w:rPr>
              <w:t>当N</w:t>
            </w:r>
            <w:r>
              <w:rPr>
                <w:rFonts w:hint="eastAsia" w:ascii="宋体" w:hAnsi="宋体" w:cs="宋体"/>
                <w:szCs w:val="21"/>
              </w:rPr>
              <w:t>≤10家时,n1=0，n2=0；</w:t>
            </w:r>
          </w:p>
          <w:p>
            <w:pPr>
              <w:spacing w:line="340" w:lineRule="exact"/>
              <w:ind w:firstLine="420" w:firstLineChars="200"/>
              <w:rPr>
                <w:rFonts w:hint="eastAsia" w:ascii="宋体" w:hAnsi="宋体" w:cs="宋体"/>
                <w:szCs w:val="21"/>
              </w:rPr>
            </w:pPr>
            <w:r>
              <w:rPr>
                <w:rFonts w:hint="eastAsia" w:ascii="宋体" w:hAnsi="宋体" w:cs="宋体"/>
                <w:szCs w:val="21"/>
              </w:rPr>
              <w:t>当11家≤</w:t>
            </w:r>
            <w:r>
              <w:rPr>
                <w:rFonts w:hint="eastAsia" w:ascii="宋体" w:hAnsi="宋体"/>
                <w:szCs w:val="21"/>
              </w:rPr>
              <w:t>N</w:t>
            </w:r>
            <w:r>
              <w:rPr>
                <w:rFonts w:hint="eastAsia" w:ascii="宋体" w:hAnsi="宋体" w:cs="宋体"/>
                <w:szCs w:val="21"/>
              </w:rPr>
              <w:t>≤20家时，n1=1，n2=1；</w:t>
            </w:r>
          </w:p>
          <w:p>
            <w:pPr>
              <w:spacing w:line="340" w:lineRule="exact"/>
              <w:ind w:firstLine="420" w:firstLineChars="200"/>
              <w:rPr>
                <w:rFonts w:hint="eastAsia" w:ascii="宋体" w:hAnsi="宋体" w:cs="宋体"/>
                <w:szCs w:val="21"/>
              </w:rPr>
            </w:pPr>
            <w:r>
              <w:rPr>
                <w:rFonts w:hint="eastAsia" w:ascii="宋体" w:hAnsi="宋体" w:cs="宋体"/>
                <w:szCs w:val="21"/>
              </w:rPr>
              <w:t>当21家≤</w:t>
            </w:r>
            <w:r>
              <w:rPr>
                <w:rFonts w:hint="eastAsia" w:ascii="宋体" w:hAnsi="宋体"/>
                <w:szCs w:val="21"/>
              </w:rPr>
              <w:t>N</w:t>
            </w:r>
            <w:r>
              <w:rPr>
                <w:rFonts w:hint="eastAsia" w:ascii="宋体" w:hAnsi="宋体" w:cs="宋体"/>
                <w:szCs w:val="21"/>
              </w:rPr>
              <w:t>≤30家时，n1=2，n2=2；</w:t>
            </w:r>
          </w:p>
          <w:p>
            <w:pPr>
              <w:spacing w:line="340" w:lineRule="exact"/>
              <w:ind w:firstLine="420" w:firstLineChars="200"/>
              <w:rPr>
                <w:rFonts w:hint="eastAsia" w:ascii="宋体" w:hAnsi="宋体" w:cs="宋体"/>
                <w:szCs w:val="21"/>
              </w:rPr>
            </w:pPr>
            <w:r>
              <w:rPr>
                <w:rFonts w:hint="eastAsia" w:ascii="宋体" w:hAnsi="宋体" w:cs="宋体"/>
                <w:szCs w:val="21"/>
              </w:rPr>
              <w:t>当31家≤</w:t>
            </w:r>
            <w:r>
              <w:rPr>
                <w:rFonts w:hint="eastAsia" w:ascii="宋体" w:hAnsi="宋体"/>
                <w:szCs w:val="21"/>
              </w:rPr>
              <w:t>N</w:t>
            </w:r>
            <w:r>
              <w:rPr>
                <w:rFonts w:hint="eastAsia" w:ascii="宋体" w:hAnsi="宋体" w:cs="宋体"/>
                <w:szCs w:val="21"/>
              </w:rPr>
              <w:t>≤40家时，n1=3，n2=3；</w:t>
            </w:r>
          </w:p>
          <w:p>
            <w:pPr>
              <w:spacing w:line="340" w:lineRule="exact"/>
              <w:ind w:firstLine="420" w:firstLineChars="200"/>
              <w:rPr>
                <w:rFonts w:hint="eastAsia" w:ascii="宋体" w:hAnsi="宋体" w:cs="宋体"/>
                <w:szCs w:val="21"/>
              </w:rPr>
            </w:pPr>
            <w:r>
              <w:rPr>
                <w:rFonts w:hint="eastAsia" w:ascii="宋体" w:hAnsi="宋体" w:cs="宋体"/>
                <w:szCs w:val="21"/>
              </w:rPr>
              <w:t>当41家≤</w:t>
            </w:r>
            <w:r>
              <w:rPr>
                <w:rFonts w:hint="eastAsia" w:ascii="宋体" w:hAnsi="宋体"/>
                <w:szCs w:val="21"/>
              </w:rPr>
              <w:t>N</w:t>
            </w:r>
            <w:r>
              <w:rPr>
                <w:rFonts w:hint="eastAsia" w:ascii="宋体" w:hAnsi="宋体" w:cs="宋体"/>
                <w:szCs w:val="21"/>
              </w:rPr>
              <w:t>≤50家时，n1=4，n2=4；</w:t>
            </w:r>
          </w:p>
          <w:p>
            <w:pPr>
              <w:spacing w:line="340" w:lineRule="exact"/>
              <w:ind w:firstLine="420" w:firstLineChars="200"/>
              <w:rPr>
                <w:rFonts w:hint="eastAsia" w:ascii="宋体" w:hAnsi="宋体" w:cs="宋体"/>
                <w:szCs w:val="21"/>
              </w:rPr>
            </w:pPr>
            <w:r>
              <w:rPr>
                <w:rFonts w:hint="eastAsia" w:ascii="宋体" w:hAnsi="宋体" w:cs="宋体"/>
                <w:szCs w:val="21"/>
              </w:rPr>
              <w:t>当51家≤</w:t>
            </w:r>
            <w:r>
              <w:rPr>
                <w:rFonts w:hint="eastAsia" w:ascii="宋体" w:hAnsi="宋体"/>
                <w:szCs w:val="21"/>
              </w:rPr>
              <w:t>N</w:t>
            </w:r>
            <w:r>
              <w:rPr>
                <w:rFonts w:hint="eastAsia" w:ascii="宋体" w:hAnsi="宋体" w:cs="宋体"/>
                <w:szCs w:val="21"/>
              </w:rPr>
              <w:t>≤60家时，n1=5，n2=5；</w:t>
            </w:r>
          </w:p>
          <w:p>
            <w:pPr>
              <w:pStyle w:val="4"/>
              <w:rPr>
                <w:rFonts w:hint="eastAsia"/>
                <w:sz w:val="21"/>
                <w:szCs w:val="21"/>
              </w:rPr>
            </w:pPr>
            <w:r>
              <w:rPr>
                <w:rFonts w:hint="eastAsia"/>
                <w:sz w:val="21"/>
                <w:szCs w:val="21"/>
              </w:rPr>
              <w:t>当N＞60家时，n1=6，n2=6。</w:t>
            </w:r>
          </w:p>
          <w:p>
            <w:pPr>
              <w:spacing w:line="340" w:lineRule="exact"/>
              <w:ind w:firstLine="420" w:firstLineChars="200"/>
              <w:rPr>
                <w:rFonts w:hint="eastAsia" w:ascii="宋体" w:hAnsi="宋体"/>
                <w:szCs w:val="21"/>
                <w:lang w:val="en-GB"/>
              </w:rPr>
            </w:pPr>
            <w:r>
              <w:rPr>
                <w:rFonts w:hint="eastAsia" w:ascii="宋体" w:hAnsi="宋体"/>
                <w:szCs w:val="21"/>
              </w:rPr>
              <w:t>(3)评标基准价的确定：评标价平均值直接作为评标基准价。</w:t>
            </w:r>
          </w:p>
          <w:p>
            <w:pPr>
              <w:spacing w:line="340" w:lineRule="exact"/>
              <w:ind w:firstLine="420" w:firstLineChars="200"/>
              <w:rPr>
                <w:rFonts w:hint="eastAsia" w:ascii="宋体" w:hAnsi="宋体"/>
                <w:szCs w:val="21"/>
              </w:rPr>
            </w:pPr>
            <w:r>
              <w:rPr>
                <w:rFonts w:hint="eastAsia" w:ascii="宋体" w:hAnsi="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p>
            <w:pPr>
              <w:spacing w:line="340" w:lineRule="exact"/>
              <w:ind w:firstLine="420" w:firstLineChars="200"/>
              <w:rPr>
                <w:rFonts w:hint="eastAsia" w:ascii="宋体" w:hAnsi="宋体"/>
                <w:szCs w:val="21"/>
              </w:rPr>
            </w:pPr>
            <w:r>
              <w:rPr>
                <w:rFonts w:hint="eastAsia" w:ascii="宋体" w:hAnsi="宋体"/>
                <w:szCs w:val="21"/>
              </w:rPr>
              <w:t>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45" w:hRule="atLeast"/>
          <w:jc w:val="center"/>
        </w:trPr>
        <w:tc>
          <w:tcPr>
            <w:tcW w:w="1146" w:type="dxa"/>
            <w:noWrap w:val="0"/>
            <w:vAlign w:val="center"/>
          </w:tcPr>
          <w:p>
            <w:pPr>
              <w:adjustRightInd w:val="0"/>
              <w:snapToGrid w:val="0"/>
              <w:spacing w:line="300" w:lineRule="exact"/>
              <w:jc w:val="center"/>
              <w:rPr>
                <w:rFonts w:hint="eastAsia" w:ascii="宋体" w:hAnsi="宋体"/>
                <w:szCs w:val="21"/>
              </w:rPr>
            </w:pPr>
            <w:r>
              <w:rPr>
                <w:rFonts w:hint="eastAsia" w:ascii="宋体" w:hAnsi="宋体"/>
                <w:szCs w:val="21"/>
              </w:rPr>
              <w:t>2.2.3</w:t>
            </w:r>
          </w:p>
        </w:tc>
        <w:tc>
          <w:tcPr>
            <w:tcW w:w="1322" w:type="dxa"/>
            <w:noWrap w:val="0"/>
            <w:vAlign w:val="center"/>
          </w:tcPr>
          <w:p>
            <w:pPr>
              <w:adjustRightInd w:val="0"/>
              <w:snapToGrid w:val="0"/>
              <w:spacing w:line="300" w:lineRule="exact"/>
              <w:jc w:val="center"/>
              <w:rPr>
                <w:rFonts w:hint="eastAsia" w:ascii="宋体" w:hAnsi="宋体"/>
                <w:szCs w:val="21"/>
              </w:rPr>
            </w:pPr>
            <w:r>
              <w:rPr>
                <w:rFonts w:hint="eastAsia" w:ascii="宋体" w:hAnsi="宋体"/>
                <w:szCs w:val="21"/>
              </w:rPr>
              <w:t>评标价的偏差率计算公式</w:t>
            </w:r>
          </w:p>
        </w:tc>
        <w:tc>
          <w:tcPr>
            <w:tcW w:w="7222" w:type="dxa"/>
            <w:noWrap w:val="0"/>
            <w:vAlign w:val="center"/>
          </w:tcPr>
          <w:p>
            <w:pPr>
              <w:ind w:firstLine="420" w:firstLineChars="200"/>
              <w:rPr>
                <w:rFonts w:hint="eastAsia"/>
              </w:rPr>
            </w:pPr>
            <w:r>
              <w:rPr>
                <w:rFonts w:hint="eastAsia"/>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45" w:hRule="atLeast"/>
          <w:jc w:val="center"/>
        </w:trPr>
        <w:tc>
          <w:tcPr>
            <w:tcW w:w="1146" w:type="dxa"/>
            <w:noWrap w:val="0"/>
            <w:vAlign w:val="center"/>
          </w:tcPr>
          <w:p>
            <w:pPr>
              <w:adjustRightInd w:val="0"/>
              <w:snapToGrid w:val="0"/>
              <w:spacing w:line="300" w:lineRule="exact"/>
              <w:jc w:val="center"/>
              <w:rPr>
                <w:rFonts w:hint="eastAsia" w:ascii="宋体" w:hAnsi="宋体"/>
                <w:color w:val="000000"/>
                <w:kern w:val="2"/>
                <w:sz w:val="21"/>
                <w:szCs w:val="21"/>
                <w:lang w:val="en-US" w:eastAsia="zh-CN" w:bidi="ar-SA"/>
              </w:rPr>
            </w:pPr>
            <w:r>
              <w:rPr>
                <w:rFonts w:hint="eastAsia" w:ascii="宋体" w:hAnsi="宋体"/>
                <w:color w:val="000000"/>
                <w:szCs w:val="21"/>
              </w:rPr>
              <w:t>2.2.4</w:t>
            </w:r>
          </w:p>
        </w:tc>
        <w:tc>
          <w:tcPr>
            <w:tcW w:w="1322" w:type="dxa"/>
            <w:noWrap w:val="0"/>
            <w:vAlign w:val="center"/>
          </w:tcPr>
          <w:p>
            <w:pPr>
              <w:adjustRightInd w:val="0"/>
              <w:snapToGrid w:val="0"/>
              <w:spacing w:line="300" w:lineRule="exact"/>
              <w:jc w:val="center"/>
              <w:rPr>
                <w:rFonts w:hint="eastAsia" w:ascii="宋体" w:hAnsi="宋体"/>
                <w:color w:val="000000"/>
                <w:kern w:val="2"/>
                <w:sz w:val="21"/>
                <w:szCs w:val="21"/>
                <w:lang w:val="en-US" w:eastAsia="zh-CN" w:bidi="ar-SA"/>
              </w:rPr>
            </w:pPr>
            <w:r>
              <w:rPr>
                <w:rFonts w:hint="eastAsia" w:ascii="宋体" w:hAnsi="宋体"/>
                <w:color w:val="000000"/>
                <w:szCs w:val="21"/>
              </w:rPr>
              <w:t>评标价</w:t>
            </w:r>
          </w:p>
        </w:tc>
        <w:tc>
          <w:tcPr>
            <w:tcW w:w="7222" w:type="dxa"/>
            <w:noWrap w:val="0"/>
            <w:vAlign w:val="center"/>
          </w:tcPr>
          <w:p>
            <w:pPr>
              <w:ind w:firstLine="420" w:firstLineChars="200"/>
              <w:rPr>
                <w:rFonts w:hint="eastAsia" w:ascii="宋体" w:hAnsi="宋体"/>
                <w:szCs w:val="21"/>
              </w:rPr>
            </w:pPr>
            <w:r>
              <w:rPr>
                <w:rFonts w:hint="eastAsia" w:ascii="宋体" w:hAnsi="宋体"/>
                <w:szCs w:val="21"/>
              </w:rPr>
              <w:t>100分</w:t>
            </w:r>
          </w:p>
          <w:p>
            <w:pPr>
              <w:ind w:firstLine="420" w:firstLineChars="200"/>
              <w:rPr>
                <w:rFonts w:hint="eastAsia" w:ascii="宋体" w:hAnsi="宋体"/>
                <w:szCs w:val="21"/>
              </w:rPr>
            </w:pPr>
            <w:r>
              <w:rPr>
                <w:rFonts w:hint="eastAsia" w:ascii="宋体" w:hAnsi="宋体"/>
                <w:szCs w:val="21"/>
              </w:rPr>
              <w:t>评标价得分计算公式示例：</w:t>
            </w:r>
          </w:p>
          <w:p>
            <w:pPr>
              <w:ind w:firstLine="420" w:firstLineChars="200"/>
              <w:rPr>
                <w:rFonts w:hint="eastAsia" w:ascii="宋体" w:hAnsi="宋体"/>
                <w:szCs w:val="21"/>
              </w:rPr>
            </w:pPr>
            <w:r>
              <w:rPr>
                <w:rFonts w:hint="eastAsia" w:ascii="宋体" w:hAnsi="宋体"/>
                <w:szCs w:val="21"/>
              </w:rPr>
              <w:t>(1)如果投标人的评标价＞评标基准价，则评标价得分=100-偏差率×100×</w:t>
            </w:r>
            <w:r>
              <w:rPr>
                <w:rFonts w:hint="eastAsia" w:ascii="宋体" w:hAnsi="宋体"/>
                <w:i/>
                <w:szCs w:val="21"/>
              </w:rPr>
              <w:t>E</w:t>
            </w:r>
            <w:r>
              <w:rPr>
                <w:rFonts w:hint="eastAsia" w:ascii="宋体" w:hAnsi="宋体"/>
                <w:szCs w:val="21"/>
                <w:vertAlign w:val="subscript"/>
              </w:rPr>
              <w:t>1</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(2)如果投标人的评标价≤评标基准价，则评标价得分=100+偏差率×100×</w:t>
            </w:r>
            <w:r>
              <w:rPr>
                <w:rFonts w:hint="eastAsia" w:ascii="宋体" w:hAnsi="宋体"/>
                <w:i/>
                <w:szCs w:val="21"/>
              </w:rPr>
              <w:t>E</w:t>
            </w:r>
            <w:r>
              <w:rPr>
                <w:rFonts w:hint="eastAsia" w:ascii="宋体" w:hAnsi="宋体"/>
                <w:szCs w:val="21"/>
                <w:vertAlign w:val="subscript"/>
              </w:rPr>
              <w:t>2</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其中：</w:t>
            </w:r>
          </w:p>
          <w:p>
            <w:pPr>
              <w:ind w:firstLine="420" w:firstLineChars="200"/>
              <w:rPr>
                <w:rFonts w:ascii="宋体" w:hAnsi="宋体"/>
                <w:szCs w:val="21"/>
              </w:rPr>
            </w:pPr>
            <w:r>
              <w:rPr>
                <w:rFonts w:hint="eastAsia" w:ascii="宋体" w:hAnsi="宋体"/>
                <w:i/>
                <w:szCs w:val="21"/>
              </w:rPr>
              <w:t>E</w:t>
            </w:r>
            <w:r>
              <w:rPr>
                <w:rFonts w:hint="eastAsia" w:ascii="宋体" w:hAnsi="宋体"/>
                <w:szCs w:val="21"/>
                <w:vertAlign w:val="subscript"/>
              </w:rPr>
              <w:t>1</w:t>
            </w:r>
            <w:r>
              <w:rPr>
                <w:rFonts w:hint="eastAsia" w:ascii="宋体" w:hAnsi="宋体"/>
                <w:szCs w:val="21"/>
              </w:rPr>
              <w:t>是评标价每高于评标基准价一个百分点的扣分值，</w:t>
            </w:r>
            <w:r>
              <w:rPr>
                <w:rFonts w:hint="eastAsia" w:ascii="宋体" w:hAnsi="宋体"/>
                <w:i/>
                <w:szCs w:val="21"/>
              </w:rPr>
              <w:t>E</w:t>
            </w:r>
            <w:r>
              <w:rPr>
                <w:rFonts w:hint="eastAsia" w:ascii="宋体" w:hAnsi="宋体"/>
                <w:szCs w:val="21"/>
                <w:vertAlign w:val="subscript"/>
              </w:rPr>
              <w:t>1</w:t>
            </w:r>
            <w:r>
              <w:rPr>
                <w:rFonts w:hint="eastAsia" w:ascii="宋体" w:hAnsi="宋体"/>
                <w:szCs w:val="21"/>
              </w:rPr>
              <w:t>=</w:t>
            </w:r>
            <w:r>
              <w:rPr>
                <w:rFonts w:ascii="宋体" w:hAnsi="宋体"/>
                <w:szCs w:val="21"/>
              </w:rPr>
              <w:t>2</w:t>
            </w:r>
            <w:r>
              <w:rPr>
                <w:rFonts w:hint="eastAsia" w:ascii="宋体" w:hAnsi="宋体"/>
                <w:szCs w:val="21"/>
              </w:rPr>
              <w:t>；</w:t>
            </w:r>
          </w:p>
          <w:p>
            <w:pPr>
              <w:ind w:firstLine="420" w:firstLineChars="200"/>
              <w:rPr>
                <w:rFonts w:ascii="宋体" w:hAnsi="宋体"/>
                <w:szCs w:val="21"/>
              </w:rPr>
            </w:pPr>
            <w:r>
              <w:rPr>
                <w:rFonts w:hint="eastAsia" w:ascii="宋体" w:hAnsi="宋体"/>
                <w:i/>
                <w:szCs w:val="21"/>
              </w:rPr>
              <w:t>E</w:t>
            </w:r>
            <w:r>
              <w:rPr>
                <w:rFonts w:hint="eastAsia" w:ascii="宋体" w:hAnsi="宋体"/>
                <w:szCs w:val="21"/>
                <w:vertAlign w:val="subscript"/>
              </w:rPr>
              <w:t>2</w:t>
            </w:r>
            <w:r>
              <w:rPr>
                <w:rFonts w:hint="eastAsia" w:ascii="宋体" w:hAnsi="宋体"/>
                <w:szCs w:val="21"/>
              </w:rPr>
              <w:t>是评标价每低于评标基准价一个百分点的扣分值，</w:t>
            </w:r>
            <w:r>
              <w:rPr>
                <w:rFonts w:hint="eastAsia" w:ascii="宋体" w:hAnsi="宋体"/>
                <w:i/>
                <w:szCs w:val="21"/>
              </w:rPr>
              <w:t>E</w:t>
            </w:r>
            <w:r>
              <w:rPr>
                <w:rFonts w:hint="eastAsia" w:ascii="宋体" w:hAnsi="宋体"/>
                <w:szCs w:val="21"/>
                <w:vertAlign w:val="subscript"/>
              </w:rPr>
              <w:t>2</w:t>
            </w:r>
            <w:r>
              <w:rPr>
                <w:rFonts w:hint="eastAsia" w:ascii="宋体" w:hAnsi="宋体"/>
                <w:szCs w:val="21"/>
              </w:rPr>
              <w:t>=</w:t>
            </w:r>
            <w:r>
              <w:rPr>
                <w:rFonts w:ascii="宋体" w:hAnsi="宋体"/>
                <w:szCs w:val="21"/>
              </w:rPr>
              <w:t>1</w:t>
            </w:r>
            <w:r>
              <w:rPr>
                <w:rFonts w:hint="eastAsia" w:ascii="宋体" w:hAnsi="宋体"/>
                <w:szCs w:val="21"/>
              </w:rPr>
              <w:t>。</w:t>
            </w:r>
          </w:p>
          <w:p>
            <w:pPr>
              <w:ind w:firstLine="420" w:firstLineChars="200"/>
              <w:rPr>
                <w:rFonts w:hint="eastAsia"/>
                <w:kern w:val="2"/>
                <w:sz w:val="21"/>
                <w:szCs w:val="24"/>
                <w:lang w:val="en-US" w:eastAsia="zh-CN" w:bidi="ar-SA"/>
              </w:rPr>
            </w:pPr>
            <w:r>
              <w:rPr>
                <w:rFonts w:hint="eastAsia" w:ascii="宋体" w:hAnsi="宋体"/>
                <w:szCs w:val="21"/>
              </w:rPr>
              <w:t>评标价得分保留两位小数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66" w:hRule="atLeast"/>
          <w:jc w:val="center"/>
        </w:trPr>
        <w:tc>
          <w:tcPr>
            <w:tcW w:w="1146" w:type="dxa"/>
            <w:noWrap w:val="0"/>
            <w:vAlign w:val="center"/>
          </w:tcPr>
          <w:p>
            <w:pPr>
              <w:adjustRightInd w:val="0"/>
              <w:snapToGrid w:val="0"/>
              <w:spacing w:line="300" w:lineRule="exact"/>
              <w:jc w:val="center"/>
              <w:rPr>
                <w:rFonts w:ascii="宋体" w:hAnsi="宋体"/>
                <w:szCs w:val="21"/>
              </w:rPr>
            </w:pPr>
            <w:r>
              <w:rPr>
                <w:rFonts w:hint="eastAsia" w:ascii="宋体" w:hAnsi="宋体"/>
                <w:szCs w:val="21"/>
              </w:rPr>
              <w:t>3.3.3</w:t>
            </w:r>
          </w:p>
        </w:tc>
        <w:tc>
          <w:tcPr>
            <w:tcW w:w="1322" w:type="dxa"/>
            <w:noWrap w:val="0"/>
            <w:vAlign w:val="center"/>
          </w:tcPr>
          <w:p>
            <w:pPr>
              <w:adjustRightInd w:val="0"/>
              <w:snapToGrid w:val="0"/>
              <w:spacing w:line="300" w:lineRule="exact"/>
              <w:jc w:val="center"/>
              <w:rPr>
                <w:rFonts w:ascii="宋体" w:hAnsi="宋体"/>
                <w:szCs w:val="21"/>
              </w:rPr>
            </w:pPr>
            <w:r>
              <w:rPr>
                <w:rFonts w:hint="eastAsia" w:ascii="宋体" w:hAnsi="宋体"/>
                <w:szCs w:val="21"/>
              </w:rPr>
              <w:t>算术性修正</w:t>
            </w:r>
          </w:p>
        </w:tc>
        <w:tc>
          <w:tcPr>
            <w:tcW w:w="7222" w:type="dxa"/>
            <w:noWrap w:val="0"/>
            <w:vAlign w:val="center"/>
          </w:tcPr>
          <w:p>
            <w:pPr>
              <w:spacing w:line="276" w:lineRule="auto"/>
              <w:ind w:firstLine="404" w:firstLineChars="200"/>
              <w:rPr>
                <w:rFonts w:hint="eastAsia" w:ascii="宋体" w:hAnsi="宋体"/>
                <w:spacing w:val="-4"/>
                <w:szCs w:val="21"/>
              </w:rPr>
            </w:pPr>
            <w:r>
              <w:rPr>
                <w:rFonts w:hint="eastAsia" w:ascii="宋体" w:hAnsi="宋体"/>
                <w:spacing w:val="-4"/>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82" w:hRule="atLeast"/>
          <w:jc w:val="center"/>
        </w:trPr>
        <w:tc>
          <w:tcPr>
            <w:tcW w:w="1146" w:type="dxa"/>
            <w:noWrap w:val="0"/>
            <w:vAlign w:val="center"/>
          </w:tcPr>
          <w:p>
            <w:pPr>
              <w:adjustRightInd w:val="0"/>
              <w:snapToGrid w:val="0"/>
              <w:spacing w:line="300" w:lineRule="exact"/>
              <w:jc w:val="center"/>
              <w:rPr>
                <w:rFonts w:hint="eastAsia" w:ascii="宋体" w:hAnsi="宋体"/>
                <w:szCs w:val="21"/>
              </w:rPr>
            </w:pPr>
            <w:r>
              <w:rPr>
                <w:rFonts w:hint="eastAsia" w:ascii="宋体" w:hAnsi="宋体"/>
                <w:szCs w:val="21"/>
              </w:rPr>
              <w:t>3</w:t>
            </w:r>
            <w:r>
              <w:rPr>
                <w:rFonts w:ascii="宋体" w:hAnsi="宋体"/>
                <w:szCs w:val="21"/>
              </w:rPr>
              <w:t>.</w:t>
            </w:r>
            <w:r>
              <w:rPr>
                <w:rFonts w:hint="eastAsia" w:ascii="宋体" w:hAnsi="宋体"/>
                <w:szCs w:val="21"/>
              </w:rPr>
              <w:t>6</w:t>
            </w:r>
            <w:r>
              <w:rPr>
                <w:rFonts w:ascii="宋体" w:hAnsi="宋体"/>
                <w:szCs w:val="21"/>
              </w:rPr>
              <w:t>.1</w:t>
            </w:r>
          </w:p>
        </w:tc>
        <w:tc>
          <w:tcPr>
            <w:tcW w:w="1322" w:type="dxa"/>
            <w:noWrap w:val="0"/>
            <w:vAlign w:val="center"/>
          </w:tcPr>
          <w:p>
            <w:pPr>
              <w:adjustRightInd w:val="0"/>
              <w:snapToGrid w:val="0"/>
              <w:spacing w:line="300" w:lineRule="exact"/>
              <w:jc w:val="center"/>
              <w:rPr>
                <w:rFonts w:hint="eastAsia" w:ascii="宋体" w:hAnsi="宋体"/>
                <w:szCs w:val="21"/>
              </w:rPr>
            </w:pPr>
            <w:r>
              <w:rPr>
                <w:rFonts w:hint="eastAsia" w:ascii="宋体" w:hAnsi="宋体"/>
                <w:szCs w:val="21"/>
              </w:rPr>
              <w:t>投标文件相关信息核查</w:t>
            </w:r>
          </w:p>
        </w:tc>
        <w:tc>
          <w:tcPr>
            <w:tcW w:w="7222" w:type="dxa"/>
            <w:noWrap w:val="0"/>
            <w:vAlign w:val="center"/>
          </w:tcPr>
          <w:p>
            <w:pPr>
              <w:spacing w:line="276" w:lineRule="auto"/>
              <w:jc w:val="left"/>
              <w:rPr>
                <w:rFonts w:ascii="宋体" w:hAnsi="宋体"/>
                <w:spacing w:val="-4"/>
                <w:szCs w:val="21"/>
              </w:rPr>
            </w:pPr>
            <w:r>
              <w:rPr>
                <w:rFonts w:hint="eastAsia" w:ascii="宋体" w:hAnsi="宋体"/>
                <w:spacing w:val="-4"/>
                <w:szCs w:val="21"/>
              </w:rPr>
              <w:t>本条修改为：</w:t>
            </w:r>
          </w:p>
          <w:p>
            <w:pPr>
              <w:autoSpaceDE w:val="0"/>
              <w:autoSpaceDN w:val="0"/>
              <w:spacing w:line="276" w:lineRule="auto"/>
              <w:ind w:firstLine="420" w:firstLineChars="200"/>
              <w:rPr>
                <w:rFonts w:ascii="宋体" w:hAnsi="宋体" w:cs="宋体"/>
                <w:szCs w:val="21"/>
              </w:rPr>
            </w:pPr>
            <w:r>
              <w:rPr>
                <w:rFonts w:hint="eastAsia" w:ascii="宋体" w:hAnsi="宋体" w:cs="宋体"/>
                <w:szCs w:val="21"/>
              </w:rPr>
              <w:t>在评标过程中，评标委员会应对投标人以下信息进行查询：</w:t>
            </w:r>
          </w:p>
          <w:p>
            <w:pPr>
              <w:autoSpaceDE w:val="0"/>
              <w:autoSpaceDN w:val="0"/>
              <w:spacing w:line="276" w:lineRule="auto"/>
              <w:ind w:firstLine="420" w:firstLineChars="200"/>
              <w:rPr>
                <w:rFonts w:ascii="宋体" w:hAnsi="宋体" w:cs="宋体"/>
                <w:szCs w:val="21"/>
              </w:rPr>
            </w:pPr>
            <w:r>
              <w:rPr>
                <w:rFonts w:hint="eastAsia" w:ascii="宋体" w:hAnsi="宋体" w:cs="宋体"/>
                <w:szCs w:val="21"/>
              </w:rPr>
              <w:t>（1）所附项目经理注册建造师信息的网页截图复印件与“全国建筑市场监管公共服务平台（http://jzsc.mohurd.gov.cn/） ”核查的结果一致；</w:t>
            </w:r>
          </w:p>
          <w:p>
            <w:pPr>
              <w:autoSpaceDE w:val="0"/>
              <w:autoSpaceDN w:val="0"/>
              <w:spacing w:line="276" w:lineRule="auto"/>
              <w:ind w:firstLine="420" w:firstLineChars="200"/>
              <w:rPr>
                <w:rFonts w:ascii="宋体" w:hAnsi="宋体" w:cs="宋体"/>
                <w:szCs w:val="21"/>
              </w:rPr>
            </w:pPr>
            <w:r>
              <w:rPr>
                <w:rFonts w:hint="eastAsia" w:ascii="宋体" w:hAnsi="宋体" w:cs="宋体"/>
                <w:szCs w:val="21"/>
              </w:rPr>
              <w:t>（2）</w:t>
            </w:r>
            <w:r>
              <w:rPr>
                <w:rFonts w:hint="eastAsia" w:ascii="宋体" w:hAnsi="宋体"/>
                <w:spacing w:val="-4"/>
                <w:szCs w:val="21"/>
              </w:rPr>
              <w:t>投标人信用情况网页截图内容与在“国家企业信用信息公示系统”中严重违法失信名单（黑名单）信息（不含分公司）或在“信用中国”网站中“失信被执行人、经营异常名录、税收违法黑名单、政府采购严重违法失信名单（均不含分公司）的复核结果一致</w:t>
            </w:r>
            <w:r>
              <w:rPr>
                <w:rFonts w:hint="eastAsia" w:ascii="宋体" w:hAnsi="宋体" w:cs="宋体"/>
                <w:szCs w:val="21"/>
              </w:rPr>
              <w:t>。</w:t>
            </w:r>
          </w:p>
          <w:p>
            <w:pPr>
              <w:spacing w:line="276" w:lineRule="auto"/>
              <w:ind w:firstLine="404" w:firstLineChars="200"/>
              <w:jc w:val="left"/>
              <w:rPr>
                <w:rFonts w:ascii="宋体" w:hAnsi="宋体"/>
                <w:spacing w:val="-4"/>
                <w:szCs w:val="21"/>
              </w:rPr>
            </w:pPr>
            <w:r>
              <w:rPr>
                <w:rFonts w:hint="eastAsia" w:ascii="宋体" w:hAnsi="宋体"/>
                <w:spacing w:val="-4"/>
                <w:szCs w:val="21"/>
              </w:rPr>
              <w:t>前述（1）、（2）项如投标人未提供相关网页截图或所附截图与复核结果不一致导致不能满足资格评审要求的，评标委员会应否决其投标。</w:t>
            </w:r>
          </w:p>
          <w:p>
            <w:pPr>
              <w:spacing w:line="276" w:lineRule="auto"/>
              <w:ind w:firstLine="404" w:firstLineChars="200"/>
              <w:rPr>
                <w:rFonts w:ascii="宋体" w:hAnsi="宋体" w:cs="宋体"/>
                <w:szCs w:val="21"/>
              </w:rPr>
            </w:pPr>
            <w:r>
              <w:rPr>
                <w:rFonts w:hint="eastAsia" w:ascii="宋体" w:hAnsi="宋体"/>
                <w:spacing w:val="-4"/>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为，按相关规定处理。</w:t>
            </w:r>
          </w:p>
          <w:p>
            <w:pPr>
              <w:pStyle w:val="4"/>
              <w:rPr>
                <w:rFonts w:hint="eastAsia"/>
              </w:rPr>
            </w:pPr>
            <w:r>
              <w:rPr>
                <w:rFonts w:hint="eastAsia" w:cs="宋体"/>
                <w:sz w:val="21"/>
                <w:szCs w:val="21"/>
              </w:rPr>
              <w:t>（</w:t>
            </w:r>
            <w:r>
              <w:rPr>
                <w:rFonts w:cs="宋体"/>
                <w:sz w:val="21"/>
                <w:szCs w:val="21"/>
              </w:rPr>
              <w:t>3</w:t>
            </w:r>
            <w:r>
              <w:rPr>
                <w:rFonts w:hint="eastAsia" w:cs="宋体"/>
                <w:sz w:val="21"/>
                <w:szCs w:val="21"/>
              </w:rPr>
              <w:t>）</w:t>
            </w:r>
            <w:r>
              <w:rPr>
                <w:rFonts w:hint="eastAsia"/>
                <w:spacing w:val="-4"/>
                <w:sz w:val="21"/>
                <w:szCs w:val="21"/>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82" w:hRule="atLeast"/>
          <w:jc w:val="center"/>
        </w:trPr>
        <w:tc>
          <w:tcPr>
            <w:tcW w:w="1146" w:type="dxa"/>
            <w:noWrap w:val="0"/>
            <w:vAlign w:val="center"/>
          </w:tcPr>
          <w:p>
            <w:pPr>
              <w:adjustRightInd w:val="0"/>
              <w:snapToGrid w:val="0"/>
              <w:spacing w:line="300" w:lineRule="exact"/>
              <w:jc w:val="center"/>
              <w:rPr>
                <w:rFonts w:hint="eastAsia" w:ascii="宋体" w:hAnsi="宋体"/>
                <w:color w:val="000000"/>
                <w:kern w:val="2"/>
                <w:sz w:val="21"/>
                <w:szCs w:val="21"/>
                <w:lang w:val="en-US" w:eastAsia="zh-CN" w:bidi="ar-SA"/>
              </w:rPr>
            </w:pPr>
            <w:r>
              <w:rPr>
                <w:rFonts w:hint="eastAsia" w:ascii="宋体" w:hAnsi="宋体"/>
                <w:color w:val="000000"/>
                <w:szCs w:val="21"/>
              </w:rPr>
              <w:t>3.</w:t>
            </w:r>
            <w:r>
              <w:rPr>
                <w:rFonts w:ascii="宋体" w:hAnsi="宋体"/>
                <w:color w:val="000000"/>
                <w:szCs w:val="21"/>
              </w:rPr>
              <w:t>8</w:t>
            </w:r>
            <w:r>
              <w:rPr>
                <w:rFonts w:hint="eastAsia" w:ascii="宋体" w:hAnsi="宋体"/>
                <w:color w:val="000000"/>
                <w:szCs w:val="21"/>
              </w:rPr>
              <w:t>.1</w:t>
            </w:r>
          </w:p>
        </w:tc>
        <w:tc>
          <w:tcPr>
            <w:tcW w:w="1322" w:type="dxa"/>
            <w:noWrap w:val="0"/>
            <w:vAlign w:val="center"/>
          </w:tcPr>
          <w:p>
            <w:pPr>
              <w:adjustRightInd w:val="0"/>
              <w:snapToGrid w:val="0"/>
              <w:spacing w:line="300" w:lineRule="exact"/>
              <w:jc w:val="center"/>
              <w:rPr>
                <w:rFonts w:hint="eastAsia" w:ascii="宋体" w:hAnsi="宋体"/>
                <w:color w:val="000000"/>
                <w:szCs w:val="21"/>
              </w:rPr>
            </w:pPr>
            <w:r>
              <w:rPr>
                <w:rFonts w:hint="eastAsia" w:ascii="宋体" w:hAnsi="宋体"/>
                <w:color w:val="000000"/>
                <w:szCs w:val="21"/>
              </w:rPr>
              <w:t>评标</w:t>
            </w:r>
          </w:p>
          <w:p>
            <w:pPr>
              <w:adjustRightInd w:val="0"/>
              <w:snapToGrid w:val="0"/>
              <w:spacing w:line="300" w:lineRule="exact"/>
              <w:jc w:val="center"/>
              <w:rPr>
                <w:rFonts w:hint="eastAsia" w:ascii="宋体" w:hAnsi="宋体"/>
                <w:color w:val="000000"/>
                <w:kern w:val="2"/>
                <w:sz w:val="21"/>
                <w:szCs w:val="21"/>
                <w:lang w:val="en-US" w:eastAsia="zh-CN" w:bidi="ar-SA"/>
              </w:rPr>
            </w:pPr>
            <w:r>
              <w:rPr>
                <w:rFonts w:hint="eastAsia" w:ascii="宋体" w:hAnsi="宋体"/>
                <w:color w:val="000000"/>
                <w:szCs w:val="21"/>
              </w:rPr>
              <w:t>结果</w:t>
            </w:r>
          </w:p>
        </w:tc>
        <w:tc>
          <w:tcPr>
            <w:tcW w:w="7222" w:type="dxa"/>
            <w:noWrap w:val="0"/>
            <w:vAlign w:val="center"/>
          </w:tcPr>
          <w:p>
            <w:pPr>
              <w:adjustRightInd w:val="0"/>
              <w:snapToGrid w:val="0"/>
              <w:spacing w:line="300" w:lineRule="exact"/>
              <w:ind w:firstLine="420" w:firstLineChars="200"/>
              <w:rPr>
                <w:rFonts w:ascii="宋体" w:hAnsi="宋体"/>
              </w:rPr>
            </w:pPr>
            <w:r>
              <w:rPr>
                <w:rFonts w:hint="eastAsia" w:ascii="宋体" w:hAnsi="宋体"/>
              </w:rPr>
              <w:t>本款修改为：</w:t>
            </w:r>
          </w:p>
          <w:p>
            <w:pPr>
              <w:adjustRightInd w:val="0"/>
              <w:snapToGrid w:val="0"/>
              <w:spacing w:line="300" w:lineRule="exact"/>
              <w:ind w:firstLine="420" w:firstLineChars="200"/>
              <w:rPr>
                <w:rFonts w:hint="eastAsia" w:ascii="宋体" w:hAnsi="宋体"/>
                <w:color w:val="000000"/>
                <w:kern w:val="2"/>
                <w:sz w:val="21"/>
                <w:szCs w:val="24"/>
                <w:lang w:val="en-US" w:eastAsia="zh-CN" w:bidi="ar-SA"/>
              </w:rPr>
            </w:pPr>
            <w:r>
              <w:rPr>
                <w:rFonts w:hint="eastAsia" w:ascii="宋体" w:hAnsi="宋体"/>
              </w:rPr>
              <w:t>3</w:t>
            </w:r>
            <w:r>
              <w:rPr>
                <w:rFonts w:ascii="宋体" w:hAnsi="宋体"/>
              </w:rPr>
              <w:t>.8.1</w:t>
            </w:r>
            <w:r>
              <w:rPr>
                <w:rFonts w:hint="eastAsia" w:ascii="宋体" w:hAnsi="宋体"/>
              </w:rPr>
              <w:t>除第二章“投标人须知”前附表授权直接确定中标人外，评标委员会按照评标办法前附表“1.评标办法”的规定推荐中标候选人。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28" w:type="dxa"/>
            <w:left w:w="28" w:type="dxa"/>
            <w:bottom w:w="28" w:type="dxa"/>
            <w:right w:w="28" w:type="dxa"/>
          </w:tblCellMar>
        </w:tblPrEx>
        <w:trPr>
          <w:trHeight w:val="461" w:hRule="atLeast"/>
          <w:jc w:val="center"/>
        </w:trPr>
        <w:tc>
          <w:tcPr>
            <w:tcW w:w="9690" w:type="dxa"/>
            <w:gridSpan w:val="3"/>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260" w:lineRule="exact"/>
              <w:rPr>
                <w:rFonts w:ascii="宋体" w:hAnsi="宋体"/>
                <w:b/>
                <w:szCs w:val="21"/>
              </w:rPr>
            </w:pPr>
            <w:r>
              <w:rPr>
                <w:rFonts w:hint="eastAsia" w:ascii="宋体" w:hAnsi="宋体"/>
                <w:b/>
                <w:szCs w:val="21"/>
              </w:rPr>
              <w:t>需要补充的其他内容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28" w:type="dxa"/>
            <w:left w:w="28" w:type="dxa"/>
            <w:bottom w:w="28" w:type="dxa"/>
            <w:right w:w="28" w:type="dxa"/>
          </w:tblCellMar>
        </w:tblPrEx>
        <w:trPr>
          <w:trHeight w:val="461" w:hRule="atLeast"/>
          <w:jc w:val="center"/>
        </w:trPr>
        <w:tc>
          <w:tcPr>
            <w:tcW w:w="9690" w:type="dxa"/>
            <w:gridSpan w:val="3"/>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260" w:lineRule="exact"/>
              <w:rPr>
                <w:rFonts w:hint="eastAsia" w:ascii="宋体" w:hAnsi="宋体"/>
                <w:b/>
                <w:szCs w:val="21"/>
              </w:rPr>
            </w:pPr>
            <w:r>
              <w:rPr>
                <w:rFonts w:hint="eastAsia" w:ascii="宋体" w:hAnsi="宋体"/>
                <w:b/>
                <w:szCs w:val="21"/>
              </w:rPr>
              <w:t>无</w:t>
            </w:r>
          </w:p>
        </w:tc>
      </w:tr>
    </w:tbl>
    <w:p>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1752B55"/>
    <w:rsid w:val="01F1646E"/>
    <w:rsid w:val="052B11AA"/>
    <w:rsid w:val="053765B9"/>
    <w:rsid w:val="05482EA2"/>
    <w:rsid w:val="064102F9"/>
    <w:rsid w:val="067A164E"/>
    <w:rsid w:val="07FC4D37"/>
    <w:rsid w:val="0AB54A42"/>
    <w:rsid w:val="0CA8704E"/>
    <w:rsid w:val="0E81287E"/>
    <w:rsid w:val="12476BEA"/>
    <w:rsid w:val="15252667"/>
    <w:rsid w:val="153B67D4"/>
    <w:rsid w:val="16415095"/>
    <w:rsid w:val="17C044C3"/>
    <w:rsid w:val="18670549"/>
    <w:rsid w:val="1B676774"/>
    <w:rsid w:val="1C063B10"/>
    <w:rsid w:val="1D7B470C"/>
    <w:rsid w:val="1D951969"/>
    <w:rsid w:val="1F071645"/>
    <w:rsid w:val="1F58329B"/>
    <w:rsid w:val="214C45F4"/>
    <w:rsid w:val="23585E1D"/>
    <w:rsid w:val="237B6F63"/>
    <w:rsid w:val="262B258E"/>
    <w:rsid w:val="267C5F31"/>
    <w:rsid w:val="27065532"/>
    <w:rsid w:val="27C849A7"/>
    <w:rsid w:val="29FD3CFB"/>
    <w:rsid w:val="2A14027C"/>
    <w:rsid w:val="2A7201E4"/>
    <w:rsid w:val="2C053E53"/>
    <w:rsid w:val="2C461E1C"/>
    <w:rsid w:val="2E355690"/>
    <w:rsid w:val="2EED0ED3"/>
    <w:rsid w:val="2F12606C"/>
    <w:rsid w:val="2FE07023"/>
    <w:rsid w:val="30646183"/>
    <w:rsid w:val="31EE7681"/>
    <w:rsid w:val="34715C57"/>
    <w:rsid w:val="35F04520"/>
    <w:rsid w:val="36AE5B31"/>
    <w:rsid w:val="37DE6BB9"/>
    <w:rsid w:val="38F0586E"/>
    <w:rsid w:val="39BF72B4"/>
    <w:rsid w:val="3AFE0D2F"/>
    <w:rsid w:val="3B4A3961"/>
    <w:rsid w:val="3BED56CD"/>
    <w:rsid w:val="3D784A90"/>
    <w:rsid w:val="3E864610"/>
    <w:rsid w:val="3F405866"/>
    <w:rsid w:val="4327445A"/>
    <w:rsid w:val="438E434B"/>
    <w:rsid w:val="439515D5"/>
    <w:rsid w:val="43A66C1F"/>
    <w:rsid w:val="48A43D49"/>
    <w:rsid w:val="4B4311A8"/>
    <w:rsid w:val="4B720118"/>
    <w:rsid w:val="4BEE2E5D"/>
    <w:rsid w:val="4E1C46B2"/>
    <w:rsid w:val="51ED2A7B"/>
    <w:rsid w:val="54697928"/>
    <w:rsid w:val="56FC3747"/>
    <w:rsid w:val="5787161D"/>
    <w:rsid w:val="5C09106B"/>
    <w:rsid w:val="5C761162"/>
    <w:rsid w:val="5C926C63"/>
    <w:rsid w:val="5E554B9A"/>
    <w:rsid w:val="61CF197C"/>
    <w:rsid w:val="63737747"/>
    <w:rsid w:val="654419FA"/>
    <w:rsid w:val="65E20F44"/>
    <w:rsid w:val="6683726D"/>
    <w:rsid w:val="669B5E8E"/>
    <w:rsid w:val="67367C78"/>
    <w:rsid w:val="678A4CB4"/>
    <w:rsid w:val="67FA6F08"/>
    <w:rsid w:val="6EA91E8E"/>
    <w:rsid w:val="708243D3"/>
    <w:rsid w:val="71AA3117"/>
    <w:rsid w:val="735C2CFF"/>
    <w:rsid w:val="739C0F5E"/>
    <w:rsid w:val="74497FB5"/>
    <w:rsid w:val="75456D0E"/>
    <w:rsid w:val="75610AB3"/>
    <w:rsid w:val="777F589E"/>
    <w:rsid w:val="78F758DF"/>
    <w:rsid w:val="7D5239E6"/>
    <w:rsid w:val="7EC84463"/>
    <w:rsid w:val="7F89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宋体" w:hAnsi="宋体"/>
      <w:sz w:val="24"/>
    </w:rPr>
  </w:style>
  <w:style w:type="paragraph" w:styleId="3">
    <w:name w:val="toc 2"/>
    <w:basedOn w:val="1"/>
    <w:next w:val="1"/>
    <w:qFormat/>
    <w:uiPriority w:val="39"/>
    <w:pPr>
      <w:tabs>
        <w:tab w:val="right" w:leader="middleDot" w:pos="9175"/>
      </w:tabs>
      <w:spacing w:line="360" w:lineRule="exact"/>
      <w:ind w:left="210"/>
      <w:jc w:val="left"/>
    </w:pPr>
    <w:rPr>
      <w:smallCaps/>
      <w:kern w:val="44"/>
      <w:sz w:val="24"/>
    </w:rPr>
  </w:style>
  <w:style w:type="paragraph" w:styleId="4">
    <w:name w:val="Normal Indent"/>
    <w:basedOn w:val="1"/>
    <w:next w:val="5"/>
    <w:qFormat/>
    <w:uiPriority w:val="0"/>
    <w:pPr>
      <w:ind w:firstLine="420"/>
    </w:pPr>
    <w:rPr>
      <w:rFonts w:ascii="宋体" w:hAnsi="宋体"/>
      <w:sz w:val="24"/>
    </w:rPr>
  </w:style>
  <w:style w:type="paragraph" w:customStyle="1" w:styleId="5">
    <w:name w:val="toc 21"/>
    <w:next w:val="1"/>
    <w:qFormat/>
    <w:uiPriority w:val="0"/>
    <w:pPr>
      <w:wordWrap w:val="0"/>
      <w:ind w:left="425"/>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2022-07-14T09:40:00Z</dcterms:created>
  <dc:creator>admin</dc:creator>
  <cp:lastModifiedBy>李</cp:lastModifiedBy>
  <dcterms:modified xsi:type="dcterms:W3CDTF">2023-11-11T01:19:08Z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78724F35F4C14ABF86A21046069351B7</vt:lpwstr>
  </property>
</Properties>
</file>